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il"/>
              <w:left w:val="nil"/>
              <w:bottom w:val="nil"/>
              <w:right w:val="nil"/>
            </w:tcBorders>
            <w:shd w:fill="1B2A4A" w:val="clear"/>
            <w:tcMar>
              <w:top w:type="dxa" w:w="180"/>
              <w:left w:type="dxa" w:w="240"/>
              <w:bottom w:type="dxa" w:w="40"/>
              <w:right w:type="dxa" w:w="240"/>
            </w:tcMar>
          </w:tcPr>
          <w:p>
            <w:pPr>
              <w:jc w:val="center"/>
            </w:pPr>
            <w:r>
              <w:rPr>
                <w:rFonts w:ascii="Arial" w:cs="Arial" w:eastAsia="Arial" w:hAnsi="Arial"/>
                <w:b/>
                <w:bCs/>
                <w:color w:val="FF9933"/>
                <w:sz w:val="26"/>
                <w:szCs w:val="26"/>
              </w:rPr>
              <w:t xml:space="preserve">STANDARD OPERATING PROCEDURE</w:t>
            </w:r>
          </w:p>
          <w:p>
            <w:pPr>
              <w:jc w:val="center"/>
            </w:pPr>
            <w:r>
              <w:rPr>
                <w:rFonts w:ascii="Arial" w:cs="Arial" w:eastAsia="Arial" w:hAnsi="Arial"/>
                <w:b/>
                <w:bCs/>
                <w:color w:val="FFFFFF"/>
                <w:sz w:val="40"/>
                <w:szCs w:val="40"/>
              </w:rPr>
              <w:t xml:space="preserve">Batch Manufacturing Record (BMR)</w:t>
            </w:r>
          </w:p>
          <w:p>
            <w:pPr>
              <w:jc w:val="center"/>
            </w:pPr>
            <w:r>
              <w:rPr>
                <w:rFonts w:ascii="Arial" w:cs="Arial" w:eastAsia="Arial" w:hAnsi="Arial"/>
                <w:i/>
                <w:iCs/>
                <w:color w:val="A8C4E8"/>
                <w:sz w:val="20"/>
                <w:szCs w:val="20"/>
              </w:rPr>
              <w:t xml:space="preserve">Preparation, Execution &amp; Review — Clause 5.2 Documentation Requirements</w:t>
            </w:r>
          </w:p>
        </w:tc>
      </w:tr>
    </w:tbl>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il"/>
              <w:left w:val="nil"/>
              <w:bottom w:val="nil"/>
              <w:right w:val="nil"/>
            </w:tcBorders>
            <w:shd w:fill="FF9933" w:val="clear"/>
            <w:tcMar>
              <w:top w:type="dxa" w:w="60"/>
              <w:left w:type="dxa" w:w="240"/>
              <w:bottom w:type="dxa" w:w="60"/>
              <w:right w:type="dxa" w:w="240"/>
            </w:tcMar>
          </w:tcPr>
          <w:p>
            <w:pPr>
              <w:jc w:val="center"/>
            </w:pPr>
            <w:r>
              <w:rPr>
                <w:rFonts w:ascii="Arial" w:cs="Arial" w:eastAsia="Arial" w:hAnsi="Arial"/>
                <w:b/>
                <w:bCs/>
                <w:color w:val="1B2A4A"/>
                <w:sz w:val="17"/>
                <w:szCs w:val="17"/>
              </w:rPr>
              <w:t xml:space="preserve">Ministry of Health &amp; Family Welfare, Govt. of India  |  Drugs &amp; Cosmetics Rules 1945  |  Schedule M Clause 5.2 (G.S.R.227(E)/2023)</w:t>
            </w:r>
          </w:p>
        </w:tc>
      </w:tr>
    </w:tbl>
    <w:p>
      <w:pPr>
        <w:spacing w:before="0" w:after="0"/>
      </w:pPr>
      <w:r>
        <w:rPr>
          <w:sz w:val="18"/>
          <w:szCs w:val="18"/>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00"/>
        <w:gridCol w:w="2313"/>
        <w:gridCol w:w="2200"/>
        <w:gridCol w:w="2313"/>
      </w:tblGrid>
      <w:tr>
        <w:tc>
          <w:tcPr>
            <w:tcW w:type="dxa" w:w="22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SOP Number:</w:t>
            </w:r>
          </w:p>
        </w:tc>
        <w:tc>
          <w:tcPr>
            <w:tcW w:type="dxa" w:w="23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[SOP-BMR-XXX-001]</w:t>
            </w:r>
          </w:p>
        </w:tc>
        <w:tc>
          <w:tcPr>
            <w:tcW w:type="dxa" w:w="22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Version / Revision:</w:t>
            </w:r>
          </w:p>
        </w:tc>
        <w:tc>
          <w:tcPr>
            <w:tcW w:type="dxa" w:w="23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01 / 00</w:t>
            </w:r>
          </w:p>
        </w:tc>
      </w:tr>
      <w:tr>
        <w:tc>
          <w:tcPr>
            <w:tcW w:type="dxa" w:w="22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Title:</w:t>
            </w:r>
          </w:p>
        </w:tc>
        <w:tc>
          <w:tcPr>
            <w:tcW w:type="dxa" w:w="23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Batch Manufacturing Record (BMR) — Preparation, Execution &amp; Review</w:t>
            </w:r>
          </w:p>
        </w:tc>
        <w:tc>
          <w:tcPr>
            <w:tcW w:type="dxa" w:w="22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Effective Date:</w:t>
            </w:r>
          </w:p>
        </w:tc>
        <w:tc>
          <w:tcPr>
            <w:tcW w:type="dxa" w:w="23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[DD-MMM-YYYY]</w:t>
            </w:r>
          </w:p>
        </w:tc>
      </w:tr>
      <w:tr>
        <w:tc>
          <w:tcPr>
            <w:tcW w:type="dxa" w:w="22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Department:</w:t>
            </w:r>
          </w:p>
        </w:tc>
        <w:tc>
          <w:tcPr>
            <w:tcW w:type="dxa" w:w="23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Production / Quality Assurance</w:t>
            </w:r>
          </w:p>
        </w:tc>
        <w:tc>
          <w:tcPr>
            <w:tcW w:type="dxa" w:w="22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Review Due:</w:t>
            </w:r>
          </w:p>
        </w:tc>
        <w:tc>
          <w:tcPr>
            <w:tcW w:type="dxa" w:w="23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[DD-MMM-YYYY] (Every 3 Years)</w:t>
            </w:r>
          </w:p>
        </w:tc>
      </w:tr>
      <w:tr>
        <w:tc>
          <w:tcPr>
            <w:tcW w:type="dxa" w:w="22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Schedule M Reference:</w:t>
            </w:r>
          </w:p>
        </w:tc>
        <w:tc>
          <w:tcPr>
            <w:tcW w:type="dxa" w:w="23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Clause 5.2, Drugs &amp; Cosmetics Rules 1945</w:t>
            </w:r>
          </w:p>
        </w:tc>
        <w:tc>
          <w:tcPr>
            <w:tcW w:type="dxa" w:w="22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Document Owner:</w:t>
            </w:r>
          </w:p>
        </w:tc>
        <w:tc>
          <w:tcPr>
            <w:tcW w:type="dxa" w:w="23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Head Quality Assurance</w:t>
            </w:r>
          </w:p>
        </w:tc>
      </w:tr>
      <w:tr>
        <w:tc>
          <w:tcPr>
            <w:tcW w:type="dxa" w:w="22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Prepared By:</w:t>
            </w:r>
          </w:p>
        </w:tc>
        <w:tc>
          <w:tcPr>
            <w:tcW w:type="dxa" w:w="23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[Name, Designation, Date]</w:t>
            </w:r>
          </w:p>
        </w:tc>
        <w:tc>
          <w:tcPr>
            <w:tcW w:type="dxa" w:w="22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Classification:</w:t>
            </w:r>
          </w:p>
        </w:tc>
        <w:tc>
          <w:tcPr>
            <w:tcW w:type="dxa" w:w="23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CONTROLLED DOCUMENT — CONFIDENTIAL</w:t>
            </w:r>
          </w:p>
        </w:tc>
      </w:tr>
      <w:tr>
        <w:tc>
          <w:tcPr>
            <w:tcW w:type="dxa" w:w="22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Reviewed By:</w:t>
            </w:r>
          </w:p>
        </w:tc>
        <w:tc>
          <w:tcPr>
            <w:tcW w:type="dxa" w:w="23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[Head Production / Head QA, Date]</w:t>
            </w:r>
          </w:p>
        </w:tc>
        <w:tc>
          <w:tcPr>
            <w:tcW w:type="dxa" w:w="22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Supersedes:</w:t>
            </w:r>
          </w:p>
        </w:tc>
        <w:tc>
          <w:tcPr>
            <w:tcW w:type="dxa" w:w="23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N/A (New Document)</w:t>
            </w:r>
          </w:p>
        </w:tc>
      </w:tr>
      <w:tr>
        <w:tc>
          <w:tcPr>
            <w:tcW w:type="dxa" w:w="22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Approved By:</w:t>
            </w:r>
          </w:p>
        </w:tc>
        <w:tc>
          <w:tcPr>
            <w:tcW w:type="dxa" w:w="23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[Head QA, Signature, Date]</w:t>
            </w:r>
          </w:p>
        </w:tc>
        <w:tc>
          <w:tcPr>
            <w:tcW w:type="dxa" w:w="22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Distribution:</w:t>
            </w:r>
          </w:p>
        </w:tc>
        <w:tc>
          <w:tcPr>
            <w:tcW w:type="dxa" w:w="23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Production, QA, QC, Validation, Regulatory Affairs</w:t>
            </w:r>
          </w:p>
        </w:tc>
      </w:tr>
    </w:tbl>
    <w:p>
      <w:pPr>
        <w:spacing w:before="0" w:after="0"/>
      </w:pPr>
      <w:r>
        <w:rPr>
          <w:sz w:val="18"/>
          <w:szCs w:val="18"/>
        </w:rPr>
        <w:t xml:space="preserve"/>
      </w:r>
    </w:p>
    <w:p>
      <w:pPr>
        <w:pStyle w:val="Heading1"/>
        <w:pBdr>
          <w:bottom w:val="single" w:color="3A72C9" w:sz="6" w:space="4"/>
        </w:pBdr>
        <w:spacing w:before="300" w:after="120"/>
      </w:pPr>
      <w:r>
        <w:rPr>
          <w:rFonts w:ascii="Arial" w:cs="Arial" w:eastAsia="Arial" w:hAnsi="Arial"/>
          <w:b/>
          <w:bCs/>
          <w:color w:val="1B2A4A"/>
          <w:sz w:val="28"/>
          <w:szCs w:val="28"/>
        </w:rPr>
        <w:t xml:space="preserve">1. REVISION HISTORY</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700"/>
        <w:gridCol w:w="1300"/>
        <w:gridCol w:w="1400"/>
        <w:gridCol w:w="2000"/>
        <w:gridCol w:w="3626"/>
      </w:tblGrid>
      <w:tr>
        <w:trPr>
          <w:tblHeader/>
        </w:trPr>
        <w:tc>
          <w:tcPr>
            <w:tcW w:type="dxa" w:w="7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Rev.</w:t>
            </w:r>
          </w:p>
        </w:tc>
        <w:tc>
          <w:tcPr>
            <w:tcW w:type="dxa" w:w="13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Date</w:t>
            </w:r>
          </w:p>
        </w:tc>
        <w:tc>
          <w:tcPr>
            <w:tcW w:type="dxa" w:w="14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Section(s)</w:t>
            </w:r>
          </w:p>
        </w:tc>
        <w:tc>
          <w:tcPr>
            <w:tcW w:type="dxa" w:w="20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Reason for Change</w:t>
            </w:r>
          </w:p>
        </w:tc>
        <w:tc>
          <w:tcPr>
            <w:tcW w:type="dxa" w:w="3626"/>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Approved By</w:t>
            </w:r>
          </w:p>
        </w:tc>
      </w:tr>
      <w:tr>
        <w:tc>
          <w:tcPr>
            <w:tcW w:type="dxa" w:w="7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00</w:t>
            </w:r>
          </w:p>
        </w:tc>
        <w:tc>
          <w:tcPr>
            <w:tcW w:type="dxa" w:w="13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[DD-MMM-YYYY]</w:t>
            </w:r>
          </w:p>
        </w:tc>
        <w:tc>
          <w:tcPr>
            <w:tcW w:type="dxa" w:w="14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All</w:t>
            </w:r>
          </w:p>
        </w:tc>
        <w:tc>
          <w:tcPr>
            <w:tcW w:type="dxa" w:w="20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New SOP — Schedule M Cl. 5.2 Compliance (G.S.R.227(E)/2023)</w:t>
            </w:r>
          </w:p>
        </w:tc>
        <w:tc>
          <w:tcPr>
            <w:tcW w:type="dxa" w:w="36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[Head QA Name, Signature]</w:t>
            </w:r>
          </w:p>
        </w:tc>
      </w:tr>
      <w:tr>
        <w:tc>
          <w:tcPr>
            <w:tcW w:type="dxa" w:w="7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 </w:t>
            </w:r>
          </w:p>
        </w:tc>
        <w:tc>
          <w:tcPr>
            <w:tcW w:type="dxa" w:w="13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4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20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36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r>
    </w:tbl>
    <w:p>
      <w:pPr>
        <w:spacing w:before="0" w:after="0"/>
      </w:pPr>
      <w:r>
        <w:rPr>
          <w:sz w:val="18"/>
          <w:szCs w:val="18"/>
        </w:rPr>
        <w:t xml:space="preserve"/>
      </w:r>
    </w:p>
    <w:p>
      <w:pPr>
        <w:pStyle w:val="Heading1"/>
        <w:pBdr>
          <w:bottom w:val="single" w:color="3A72C9" w:sz="6" w:space="4"/>
        </w:pBdr>
        <w:spacing w:before="300" w:after="120"/>
      </w:pPr>
      <w:r>
        <w:rPr>
          <w:rFonts w:ascii="Arial" w:cs="Arial" w:eastAsia="Arial" w:hAnsi="Arial"/>
          <w:b/>
          <w:bCs/>
          <w:color w:val="1B2A4A"/>
          <w:sz w:val="28"/>
          <w:szCs w:val="28"/>
        </w:rPr>
        <w:t xml:space="preserve">2. PURPOSE</w:t>
      </w:r>
    </w:p>
    <w:p>
      <w:pPr>
        <w:spacing w:before="60" w:after="60"/>
      </w:pPr>
      <w:r>
        <w:rPr>
          <w:rFonts w:ascii="Arial" w:cs="Arial" w:eastAsia="Arial" w:hAnsi="Arial"/>
          <w:sz w:val="18"/>
          <w:szCs w:val="18"/>
        </w:rPr>
        <w:t xml:space="preserve">This SOP defines the requirements for the preparation, issuance, execution, completion, review, and archival of Batch Manufacturing Records (BMRs) at [Site Name]. The BMR is the primary GMP document providing complete traceability of every step performed in the manufacture of a pharmaceutical batch, including materials, equipment, environmental conditions, in-process controls, and personnel.</w:t>
      </w:r>
    </w:p>
    <w:p>
      <w:pPr>
        <w:spacing w:before="60" w:after="60"/>
      </w:pPr>
      <w:r>
        <w:rPr>
          <w:rFonts w:ascii="Arial" w:cs="Arial" w:eastAsia="Arial" w:hAnsi="Arial"/>
          <w:sz w:val="18"/>
          <w:szCs w:val="18"/>
        </w:rPr>
        <w:t xml:space="preserve">This SOP ensures compliance with:</w:t>
      </w:r>
    </w:p>
    <w:p>
      <w:pPr>
        <w:pStyle w:val="ListParagraph"/>
        <w:numPr>
          <w:ilvl w:val="0"/>
          <w:numId w:val="2"/>
        </w:numPr>
        <w:spacing w:before="40" w:after="40"/>
      </w:pPr>
      <w:r>
        <w:rPr>
          <w:rFonts w:ascii="Arial" w:cs="Arial" w:eastAsia="Arial" w:hAnsi="Arial"/>
          <w:sz w:val="18"/>
          <w:szCs w:val="18"/>
        </w:rPr>
        <w:t xml:space="preserve">Schedule M, Clause 5.2 — Documentation Requirements (Drugs &amp; Cosmetics Rules 1945, as amended by G.S.R.227(E) dated 28 March 2023)</w:t>
      </w:r>
    </w:p>
    <w:p>
      <w:pPr>
        <w:pStyle w:val="ListParagraph"/>
        <w:numPr>
          <w:ilvl w:val="0"/>
          <w:numId w:val="2"/>
        </w:numPr>
        <w:spacing w:before="40" w:after="40"/>
      </w:pPr>
      <w:r>
        <w:rPr>
          <w:rFonts w:ascii="Arial" w:cs="Arial" w:eastAsia="Arial" w:hAnsi="Arial"/>
          <w:sz w:val="18"/>
          <w:szCs w:val="18"/>
        </w:rPr>
        <w:t xml:space="preserve">Schedule M, Clause 5.1 — General Documentation Principles including data integrity and ALCOA+ requirements</w:t>
      </w:r>
    </w:p>
    <w:p>
      <w:pPr>
        <w:pStyle w:val="ListParagraph"/>
        <w:numPr>
          <w:ilvl w:val="0"/>
          <w:numId w:val="2"/>
        </w:numPr>
        <w:spacing w:before="40" w:after="40"/>
      </w:pPr>
      <w:r>
        <w:rPr>
          <w:rFonts w:ascii="Arial" w:cs="Arial" w:eastAsia="Arial" w:hAnsi="Arial"/>
          <w:sz w:val="18"/>
          <w:szCs w:val="18"/>
        </w:rPr>
        <w:t xml:space="preserve">WHO TRS 986, Annex 2 — Good Manufacturing Practices: Main Principles</w:t>
      </w:r>
    </w:p>
    <w:p>
      <w:pPr>
        <w:pStyle w:val="ListParagraph"/>
        <w:numPr>
          <w:ilvl w:val="0"/>
          <w:numId w:val="2"/>
        </w:numPr>
        <w:spacing w:before="40" w:after="40"/>
      </w:pPr>
      <w:r>
        <w:rPr>
          <w:rFonts w:ascii="Arial" w:cs="Arial" w:eastAsia="Arial" w:hAnsi="Arial"/>
          <w:sz w:val="18"/>
          <w:szCs w:val="18"/>
        </w:rPr>
        <w:t xml:space="preserve">ICH Q10 — Pharmaceutical Quality System (records management and lifecycle)</w:t>
      </w:r>
    </w:p>
    <w:p>
      <w:pPr>
        <w:pStyle w:val="ListParagraph"/>
        <w:numPr>
          <w:ilvl w:val="0"/>
          <w:numId w:val="2"/>
        </w:numPr>
        <w:spacing w:before="40" w:after="40"/>
      </w:pPr>
      <w:r>
        <w:rPr>
          <w:rFonts w:ascii="Arial" w:cs="Arial" w:eastAsia="Arial" w:hAnsi="Arial"/>
          <w:sz w:val="18"/>
          <w:szCs w:val="18"/>
        </w:rPr>
        <w:t xml:space="preserve">21 CFR Part 211 Subpart J — Records and Reports (where applicable for export markets)</w:t>
      </w:r>
    </w:p>
    <w:p>
      <w:pPr>
        <w:spacing w:before="0" w:after="0"/>
      </w:pPr>
      <w:r>
        <w:rPr>
          <w:sz w:val="18"/>
          <w:szCs w:val="18"/>
        </w:rPr>
        <w:t xml:space="preserve"/>
      </w:r>
    </w:p>
    <w:p>
      <w:pPr>
        <w:pStyle w:val="Heading1"/>
        <w:pBdr>
          <w:bottom w:val="single" w:color="3A72C9" w:sz="6" w:space="4"/>
        </w:pBdr>
        <w:spacing w:before="300" w:after="120"/>
      </w:pPr>
      <w:r>
        <w:rPr>
          <w:rFonts w:ascii="Arial" w:cs="Arial" w:eastAsia="Arial" w:hAnsi="Arial"/>
          <w:b/>
          <w:bCs/>
          <w:color w:val="1B2A4A"/>
          <w:sz w:val="28"/>
          <w:szCs w:val="28"/>
        </w:rPr>
        <w:t xml:space="preserve">3. SCOPE</w:t>
      </w:r>
    </w:p>
    <w:p>
      <w:pPr>
        <w:spacing w:before="60" w:after="60"/>
      </w:pPr>
      <w:r>
        <w:rPr>
          <w:rFonts w:ascii="Arial" w:cs="Arial" w:eastAsia="Arial" w:hAnsi="Arial"/>
          <w:sz w:val="18"/>
          <w:szCs w:val="18"/>
        </w:rPr>
        <w:t xml:space="preserve">This SOP applies to:</w:t>
      </w:r>
    </w:p>
    <w:p>
      <w:pPr>
        <w:pStyle w:val="ListParagraph"/>
        <w:numPr>
          <w:ilvl w:val="0"/>
          <w:numId w:val="2"/>
        </w:numPr>
        <w:spacing w:before="40" w:after="40"/>
      </w:pPr>
      <w:r>
        <w:rPr>
          <w:rFonts w:ascii="Arial" w:cs="Arial" w:eastAsia="Arial" w:hAnsi="Arial"/>
          <w:sz w:val="18"/>
          <w:szCs w:val="18"/>
        </w:rPr>
        <w:t xml:space="preserve">All BMRs prepared and executed at [Site Name] for the manufacture of pharmaceutical dosage forms licensed under the Drugs &amp; Cosmetics Act 1940.</w:t>
      </w:r>
    </w:p>
    <w:p>
      <w:pPr>
        <w:pStyle w:val="ListParagraph"/>
        <w:numPr>
          <w:ilvl w:val="0"/>
          <w:numId w:val="2"/>
        </w:numPr>
        <w:spacing w:before="40" w:after="40"/>
      </w:pPr>
      <w:r>
        <w:rPr>
          <w:rFonts w:ascii="Arial" w:cs="Arial" w:eastAsia="Arial" w:hAnsi="Arial"/>
          <w:sz w:val="18"/>
          <w:szCs w:val="18"/>
        </w:rPr>
        <w:t xml:space="preserve">All dosage forms: solid oral dosage forms, liquid orals, topicals, parenterals, and any other form manufactured at the site.</w:t>
      </w:r>
    </w:p>
    <w:p>
      <w:pPr>
        <w:pStyle w:val="ListParagraph"/>
        <w:numPr>
          <w:ilvl w:val="0"/>
          <w:numId w:val="2"/>
        </w:numPr>
        <w:spacing w:before="40" w:after="40"/>
      </w:pPr>
      <w:r>
        <w:rPr>
          <w:rFonts w:ascii="Arial" w:cs="Arial" w:eastAsia="Arial" w:hAnsi="Arial"/>
          <w:sz w:val="18"/>
          <w:szCs w:val="18"/>
        </w:rPr>
        <w:t xml:space="preserve">BMRs for commercial batches, process validation batches, scale-up batches, and stability study batches.</w:t>
      </w:r>
    </w:p>
    <w:p>
      <w:pPr>
        <w:pStyle w:val="ListParagraph"/>
        <w:numPr>
          <w:ilvl w:val="0"/>
          <w:numId w:val="2"/>
        </w:numPr>
        <w:spacing w:before="40" w:after="40"/>
      </w:pPr>
      <w:r>
        <w:rPr>
          <w:rFonts w:ascii="Arial" w:cs="Arial" w:eastAsia="Arial" w:hAnsi="Arial"/>
          <w:sz w:val="18"/>
          <w:szCs w:val="18"/>
        </w:rPr>
        <w:t xml:space="preserve">Both paper-based BMRs and electronic BMRs (eBMRs) managed via validated LIMS/MES, subject to the additional requirements of the Electronic Records SOP [SOP-QA-ER-XXX].</w:t>
      </w:r>
    </w:p>
    <w:p>
      <w:pPr>
        <w:spacing w:before="0" w:after="0"/>
      </w:pPr>
      <w:r>
        <w:rPr>
          <w:sz w:val="18"/>
          <w:szCs w:val="18"/>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0"/>
        <w:gridCol w:w="8126"/>
      </w:tblGrid>
      <w:tr>
        <w:tc>
          <w:tcPr>
            <w:tcW w:type="dxa" w:w="900"/>
            <w:tcBorders>
              <w:top w:val="single" w:color="1B2A4A" w:sz="4"/>
              <w:left w:val="single" w:color="1B2A4A" w:sz="4"/>
              <w:bottom w:val="single" w:color="1B2A4A" w:sz="4"/>
              <w:right w:val="single" w:color="1B2A4A" w:sz="4"/>
            </w:tcBorders>
            <w:shd w:fill="F4F6FA" w:val="clear"/>
            <w:tcMar>
              <w:top w:type="dxa" w:w="80"/>
              <w:left w:type="dxa" w:w="100"/>
              <w:bottom w:type="dxa" w:w="80"/>
              <w:right w:type="dxa" w:w="100"/>
            </w:tcMar>
            <w:vAlign w:val="center"/>
          </w:tcPr>
          <w:p>
            <w:pPr>
              <w:jc w:val="center"/>
            </w:pPr>
            <w:r>
              <w:rPr>
                <w:rFonts w:ascii="Arial" w:cs="Arial" w:eastAsia="Arial" w:hAnsi="Arial"/>
                <w:b/>
                <w:bCs/>
                <w:color w:val="1B2A4A"/>
                <w:sz w:val="18"/>
                <w:szCs w:val="18"/>
              </w:rPr>
              <w:t xml:space="preserve">SCOPE</w:t>
            </w:r>
          </w:p>
        </w:tc>
        <w:tc>
          <w:tcPr>
            <w:tcW w:type="dxa" w:w="8126"/>
            <w:tcBorders>
              <w:top w:val="single" w:color="1B2A4A" w:sz="4"/>
              <w:left w:val="single" w:color="1B2A4A" w:sz="4"/>
              <w:bottom w:val="single" w:color="1B2A4A" w:sz="4"/>
              <w:right w:val="single" w:color="1B2A4A" w:sz="4"/>
            </w:tcBorders>
            <w:shd w:fill="F4F6FA" w:val="clear"/>
            <w:tcMar>
              <w:top w:type="dxa" w:w="80"/>
              <w:left w:type="dxa" w:w="140"/>
              <w:bottom w:type="dxa" w:w="80"/>
              <w:right w:type="dxa" w:w="140"/>
            </w:tcMar>
          </w:tcPr>
          <w:p>
            <w:r>
              <w:rPr>
                <w:rFonts w:ascii="Arial" w:cs="Arial" w:eastAsia="Arial" w:hAnsi="Arial"/>
                <w:i/>
                <w:iCs/>
                <w:sz w:val="18"/>
                <w:szCs w:val="18"/>
              </w:rPr>
              <w:t xml:space="preserve">This SOP does not cover Batch Packaging Records (BPRs), which are governed by SOP [SOP-BPR-XXX]. However, both the BMR and BPR must be reviewed together before batch disposition. It also does not cover Master Batch Manufacturing Formulas, which are the source documents from which BMRs are generated.</w:t>
            </w:r>
          </w:p>
        </w:tc>
      </w:tr>
    </w:tbl>
    <w:p>
      <w:pPr>
        <w:spacing w:before="0" w:after="0"/>
      </w:pPr>
      <w:r>
        <w:rPr>
          <w:sz w:val="18"/>
          <w:szCs w:val="18"/>
        </w:rPr>
        <w:t xml:space="preserve"/>
      </w:r>
    </w:p>
    <w:p>
      <w:pPr>
        <w:pStyle w:val="Heading1"/>
        <w:pBdr>
          <w:bottom w:val="single" w:color="3A72C9" w:sz="6" w:space="4"/>
        </w:pBdr>
        <w:spacing w:before="300" w:after="120"/>
      </w:pPr>
      <w:r>
        <w:rPr>
          <w:rFonts w:ascii="Arial" w:cs="Arial" w:eastAsia="Arial" w:hAnsi="Arial"/>
          <w:b/>
          <w:bCs/>
          <w:color w:val="1B2A4A"/>
          <w:sz w:val="28"/>
          <w:szCs w:val="28"/>
        </w:rPr>
        <w:t xml:space="preserve">4. REGULATORY BASIS — SCHEDULE M CLAUSE 5.2</w:t>
      </w:r>
    </w:p>
    <w:p>
      <w:pPr>
        <w:spacing w:before="60" w:after="60"/>
      </w:pPr>
      <w:r>
        <w:rPr>
          <w:rFonts w:ascii="Arial" w:cs="Arial" w:eastAsia="Arial" w:hAnsi="Arial"/>
          <w:sz w:val="18"/>
          <w:szCs w:val="18"/>
        </w:rPr>
        <w:t xml:space="preserve">Schedule M Clause 5.2 of the Drugs &amp; Cosmetics Rules 1945 (as revised by G.S.R.227(E)/2023) mandates that a Batch Manufacturing Record be prepared for every batch of drug product manufactured. The following table maps each Clause 5.2 requirement to the relevant section of this SOP and the BMR template:</w:t>
      </w:r>
    </w:p>
    <w:p>
      <w:pPr>
        <w:spacing w:before="0" w:after="0"/>
      </w:pPr>
      <w:r>
        <w:rPr>
          <w:sz w:val="18"/>
          <w:szCs w:val="18"/>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000"/>
        <w:gridCol w:w="3600"/>
        <w:gridCol w:w="2613"/>
        <w:gridCol w:w="1813"/>
      </w:tblGrid>
      <w:tr>
        <w:trPr>
          <w:tblHeader/>
        </w:trPr>
        <w:tc>
          <w:tcPr>
            <w:tcW w:type="dxa" w:w="10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Cl. 5.2</w:t>
            </w:r>
          </w:p>
        </w:tc>
        <w:tc>
          <w:tcPr>
            <w:tcW w:type="dxa" w:w="36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Schedule M Requirement</w:t>
            </w:r>
          </w:p>
        </w:tc>
        <w:tc>
          <w:tcPr>
            <w:tcW w:type="dxa" w:w="2613"/>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SOP Section</w:t>
            </w:r>
          </w:p>
        </w:tc>
        <w:tc>
          <w:tcPr>
            <w:tcW w:type="dxa" w:w="1813"/>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BMR Section</w:t>
            </w:r>
          </w:p>
        </w:tc>
      </w:tr>
      <w:tr>
        <w:tc>
          <w:tcPr>
            <w:tcW w:type="dxa" w:w="10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5.2.1</w:t>
            </w:r>
          </w:p>
        </w:tc>
        <w:tc>
          <w:tcPr>
            <w:tcW w:type="dxa" w:w="3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BMR shall be prepared for each batch manufactured, based on the relevant part of the currently approved Master Formula.</w:t>
            </w:r>
          </w:p>
        </w:tc>
        <w:tc>
          <w:tcPr>
            <w:tcW w:type="dxa" w:w="2613"/>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Section 8 — BMR Preparation</w:t>
            </w:r>
          </w:p>
        </w:tc>
        <w:tc>
          <w:tcPr>
            <w:tcW w:type="dxa" w:w="18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BMR Section A</w:t>
            </w:r>
          </w:p>
        </w:tc>
      </w:tr>
      <w:tr>
        <w:tc>
          <w:tcPr>
            <w:tcW w:type="dxa" w:w="10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5.2.2</w:t>
            </w:r>
          </w:p>
        </w:tc>
        <w:tc>
          <w:tcPr>
            <w:tcW w:type="dxa" w:w="3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BMR shall record the name of the product, the batch number, the batch size, and the date of manufacture.</w:t>
            </w:r>
          </w:p>
        </w:tc>
        <w:tc>
          <w:tcPr>
            <w:tcW w:type="dxa" w:w="2613"/>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Section 9 — BMR Header Information</w:t>
            </w:r>
          </w:p>
        </w:tc>
        <w:tc>
          <w:tcPr>
            <w:tcW w:type="dxa" w:w="18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BMR Sections A &amp; B</w:t>
            </w:r>
          </w:p>
        </w:tc>
      </w:tr>
      <w:tr>
        <w:tc>
          <w:tcPr>
            <w:tcW w:type="dxa" w:w="10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5.2.3</w:t>
            </w:r>
          </w:p>
        </w:tc>
        <w:tc>
          <w:tcPr>
            <w:tcW w:type="dxa" w:w="3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BMR shall include the names and quantities of all starting materials (with reference to IP/BP/USP or approved specifications), including any material that may not appear in the finished product.</w:t>
            </w:r>
          </w:p>
        </w:tc>
        <w:tc>
          <w:tcPr>
            <w:tcW w:type="dxa" w:w="2613"/>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Section 10 — Materials &amp; Dispensing</w:t>
            </w:r>
          </w:p>
        </w:tc>
        <w:tc>
          <w:tcPr>
            <w:tcW w:type="dxa" w:w="18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BMR Section C</w:t>
            </w:r>
          </w:p>
        </w:tc>
      </w:tr>
      <w:tr>
        <w:tc>
          <w:tcPr>
            <w:tcW w:type="dxa" w:w="10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5.2.4</w:t>
            </w:r>
          </w:p>
        </w:tc>
        <w:tc>
          <w:tcPr>
            <w:tcW w:type="dxa" w:w="3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BMR shall describe each significant manufacturing step, equipment used, and in-process controls performed, with results.</w:t>
            </w:r>
          </w:p>
        </w:tc>
        <w:tc>
          <w:tcPr>
            <w:tcW w:type="dxa" w:w="2613"/>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Section 11 — Manufacturing Steps &amp; IPCs</w:t>
            </w:r>
          </w:p>
        </w:tc>
        <w:tc>
          <w:tcPr>
            <w:tcW w:type="dxa" w:w="18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BMR Sections D &amp; E</w:t>
            </w:r>
          </w:p>
        </w:tc>
      </w:tr>
      <w:tr>
        <w:tc>
          <w:tcPr>
            <w:tcW w:type="dxa" w:w="10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5.2.5</w:t>
            </w:r>
          </w:p>
        </w:tc>
        <w:tc>
          <w:tcPr>
            <w:tcW w:type="dxa" w:w="3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BMR shall record dates and times of commencement and completion of significant steps and the identity of the operator(s) carrying out each step, countersigned by the supervisor.</w:t>
            </w:r>
          </w:p>
        </w:tc>
        <w:tc>
          <w:tcPr>
            <w:tcW w:type="dxa" w:w="2613"/>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Section 11 — Step Records &amp; Signatures</w:t>
            </w:r>
          </w:p>
        </w:tc>
        <w:tc>
          <w:tcPr>
            <w:tcW w:type="dxa" w:w="18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BMR Section D</w:t>
            </w:r>
          </w:p>
        </w:tc>
      </w:tr>
      <w:tr>
        <w:tc>
          <w:tcPr>
            <w:tcW w:type="dxa" w:w="10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5.2.6</w:t>
            </w:r>
          </w:p>
        </w:tc>
        <w:tc>
          <w:tcPr>
            <w:tcW w:type="dxa" w:w="3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BMR shall include yield at appropriate stages of manufacture and final yield, with comparison to expected yield and limits.</w:t>
            </w:r>
          </w:p>
        </w:tc>
        <w:tc>
          <w:tcPr>
            <w:tcW w:type="dxa" w:w="2613"/>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Section 12 — Yield Reconciliation</w:t>
            </w:r>
          </w:p>
        </w:tc>
        <w:tc>
          <w:tcPr>
            <w:tcW w:type="dxa" w:w="18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BMR Section F</w:t>
            </w:r>
          </w:p>
        </w:tc>
      </w:tr>
      <w:tr>
        <w:tc>
          <w:tcPr>
            <w:tcW w:type="dxa" w:w="10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5.2.7</w:t>
            </w:r>
          </w:p>
        </w:tc>
        <w:tc>
          <w:tcPr>
            <w:tcW w:type="dxa" w:w="3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BMR shall include details of environmental monitoring relevant to the product (where applicable), including temperature, humidity, and pressure differentials.</w:t>
            </w:r>
          </w:p>
        </w:tc>
        <w:tc>
          <w:tcPr>
            <w:tcW w:type="dxa" w:w="2613"/>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Section 11 — Environmental Monitoring</w:t>
            </w:r>
          </w:p>
        </w:tc>
        <w:tc>
          <w:tcPr>
            <w:tcW w:type="dxa" w:w="18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BMR Section E</w:t>
            </w:r>
          </w:p>
        </w:tc>
      </w:tr>
      <w:tr>
        <w:tc>
          <w:tcPr>
            <w:tcW w:type="dxa" w:w="10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5.2.8</w:t>
            </w:r>
          </w:p>
        </w:tc>
        <w:tc>
          <w:tcPr>
            <w:tcW w:type="dxa" w:w="3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BMR shall note any special problems or deviations from the Master Formula, signed by a competent person; QA shall countersign.</w:t>
            </w:r>
          </w:p>
        </w:tc>
        <w:tc>
          <w:tcPr>
            <w:tcW w:type="dxa" w:w="2613"/>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Section 13 — Deviations</w:t>
            </w:r>
          </w:p>
        </w:tc>
        <w:tc>
          <w:tcPr>
            <w:tcW w:type="dxa" w:w="18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BMR Section G</w:t>
            </w:r>
          </w:p>
        </w:tc>
      </w:tr>
      <w:tr>
        <w:tc>
          <w:tcPr>
            <w:tcW w:type="dxa" w:w="10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5.2.9</w:t>
            </w:r>
          </w:p>
        </w:tc>
        <w:tc>
          <w:tcPr>
            <w:tcW w:type="dxa" w:w="3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BMR shall be reviewed and approved by QA before release; completed BMRs shall be retained for at least 1 year beyond the expiry date of the batch or as specified.</w:t>
            </w:r>
          </w:p>
        </w:tc>
        <w:tc>
          <w:tcPr>
            <w:tcW w:type="dxa" w:w="2613"/>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Section 15 — QA Review &amp; Retention</w:t>
            </w:r>
          </w:p>
        </w:tc>
        <w:tc>
          <w:tcPr>
            <w:tcW w:type="dxa" w:w="18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BMR Section H</w:t>
            </w:r>
          </w:p>
        </w:tc>
      </w:tr>
    </w:tbl>
    <w:p>
      <w:pPr>
        <w:spacing w:before="0" w:after="0"/>
      </w:pPr>
      <w:r>
        <w:rPr>
          <w:sz w:val="18"/>
          <w:szCs w:val="18"/>
        </w:rPr>
        <w:t xml:space="preserve"/>
      </w:r>
    </w:p>
    <w:p>
      <w:pPr>
        <w:pStyle w:val="Heading1"/>
        <w:pBdr>
          <w:bottom w:val="single" w:color="3A72C9" w:sz="6" w:space="4"/>
        </w:pBdr>
        <w:spacing w:before="300" w:after="120"/>
      </w:pPr>
      <w:r>
        <w:rPr>
          <w:rFonts w:ascii="Arial" w:cs="Arial" w:eastAsia="Arial" w:hAnsi="Arial"/>
          <w:b/>
          <w:bCs/>
          <w:color w:val="1B2A4A"/>
          <w:sz w:val="28"/>
          <w:szCs w:val="28"/>
        </w:rPr>
        <w:t xml:space="preserve">5. DEFINITIONS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600"/>
        <w:gridCol w:w="6426"/>
      </w:tblGrid>
      <w:tr>
        <w:trPr>
          <w:tblHeader/>
        </w:trPr>
        <w:tc>
          <w:tcPr>
            <w:tcW w:type="dxa" w:w="26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Term</w:t>
            </w:r>
          </w:p>
        </w:tc>
        <w:tc>
          <w:tcPr>
            <w:tcW w:type="dxa" w:w="6426"/>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Definition</w:t>
            </w:r>
          </w:p>
        </w:tc>
      </w:tr>
      <w:tr>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Batch</w:t>
            </w:r>
          </w:p>
        </w:tc>
        <w:tc>
          <w:tcPr>
            <w:tcW w:type="dxa" w:w="64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A defined quantity of a drug product processed in a single cycle of manufacture according to a single Master Formula; identifiable by a unique batch number.</w:t>
            </w:r>
          </w:p>
        </w:tc>
      </w:tr>
      <w:tr>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Batch Manufacturing Record (BMR)</w:t>
            </w:r>
          </w:p>
        </w:tc>
        <w:tc>
          <w:tcPr>
            <w:tcW w:type="dxa" w:w="64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The unique record created for each batch, documenting all steps of manufacture as they occur. It is derived directly from the current approved Master Batch Manufacturing Formula.</w:t>
            </w:r>
          </w:p>
        </w:tc>
      </w:tr>
      <w:tr>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Master Batch Manufacturing Formula (MBMF / Master Formula)</w:t>
            </w:r>
          </w:p>
        </w:tc>
        <w:tc>
          <w:tcPr>
            <w:tcW w:type="dxa" w:w="64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The approved, controlled source document describing the full manufacturing process, materials, equipment, in-process controls, and specifications for a product. BMRs are generated from the MBMF.</w:t>
            </w:r>
          </w:p>
        </w:tc>
      </w:tr>
      <w:tr>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Batch Number / Lot Number</w:t>
            </w:r>
          </w:p>
        </w:tc>
        <w:tc>
          <w:tcPr>
            <w:tcW w:type="dxa" w:w="64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A unique alphanumeric code assigned to a batch before manufacture commences; enables complete forward and backward traceability.</w:t>
            </w:r>
          </w:p>
        </w:tc>
      </w:tr>
      <w:tr>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In-Process Control (IPC)</w:t>
            </w:r>
          </w:p>
        </w:tc>
        <w:tc>
          <w:tcPr>
            <w:tcW w:type="dxa" w:w="64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A check performed during the manufacturing process to monitor and, if necessary, adjust the process to ensure the product will conform to its specification; includes environmental monitoring.</w:t>
            </w:r>
          </w:p>
        </w:tc>
      </w:tr>
      <w:tr>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Yield (Theoretical)</w:t>
            </w:r>
          </w:p>
        </w:tc>
        <w:tc>
          <w:tcPr>
            <w:tcW w:type="dxa" w:w="64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The quantity of product that would be produced if there were no losses or errors; calculated from the quantities of material used.</w:t>
            </w:r>
          </w:p>
        </w:tc>
      </w:tr>
      <w:tr>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Yield (Actual)</w:t>
            </w:r>
          </w:p>
        </w:tc>
        <w:tc>
          <w:tcPr>
            <w:tcW w:type="dxa" w:w="64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The quantity of finished product produced from a given batch at a defined stage; compared to theoretical yield for reconciliation.</w:t>
            </w:r>
          </w:p>
        </w:tc>
      </w:tr>
      <w:tr>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Reconciliation</w:t>
            </w:r>
          </w:p>
        </w:tc>
        <w:tc>
          <w:tcPr>
            <w:tcW w:type="dxa" w:w="64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Comparison of actual quantities of materials used, recovered, or destroyed with theoretical quantities, to identify discrepancies that may indicate an error or diversion.</w:t>
            </w:r>
          </w:p>
        </w:tc>
      </w:tr>
      <w:tr>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Line Clearance</w:t>
            </w:r>
          </w:p>
        </w:tc>
        <w:tc>
          <w:tcPr>
            <w:tcW w:type="dxa" w:w="64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Documented verification that equipment, area, and materials from the previous batch have been cleared before starting a new batch; recorded in the BMR.</w:t>
            </w:r>
          </w:p>
        </w:tc>
      </w:tr>
      <w:tr>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Deviation</w:t>
            </w:r>
          </w:p>
        </w:tc>
        <w:tc>
          <w:tcPr>
            <w:tcW w:type="dxa" w:w="64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Any departure from an approved instruction, procedure, or specification observed during manufacture; must be documented in the BMR and on a Deviation Form.</w:t>
            </w:r>
          </w:p>
        </w:tc>
      </w:tr>
      <w:tr>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ALCOA+</w:t>
            </w:r>
          </w:p>
        </w:tc>
        <w:tc>
          <w:tcPr>
            <w:tcW w:type="dxa" w:w="64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Data integrity framework: Attributable, Legible, Contemporaneous, Original, Accurate + Complete, Consistent, Enduring, Available.</w:t>
            </w:r>
          </w:p>
        </w:tc>
      </w:tr>
      <w:tr>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Electronic BMR (eBMR)</w:t>
            </w:r>
          </w:p>
        </w:tc>
        <w:tc>
          <w:tcPr>
            <w:tcW w:type="dxa" w:w="64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A BMR captured and managed in a validated electronic system (MES/LIMS/EBR) with audit trail; governed by the Electronic Records SOP [SOP-QA-ER-XXX].</w:t>
            </w:r>
          </w:p>
        </w:tc>
      </w:tr>
      <w:tr>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Countersignature</w:t>
            </w:r>
          </w:p>
        </w:tc>
        <w:tc>
          <w:tcPr>
            <w:tcW w:type="dxa" w:w="64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The signature of a supervisor or QA confirming that an operator's recorded entry has been verified and is correct.</w:t>
            </w:r>
          </w:p>
        </w:tc>
      </w:tr>
      <w:tr>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QA Review / Batch Review</w:t>
            </w:r>
          </w:p>
        </w:tc>
        <w:tc>
          <w:tcPr>
            <w:tcW w:type="dxa" w:w="64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Systematic, documented review of the completed BMR and all supporting records by QA before a batch disposition decision (pass/fail) is made.</w:t>
            </w:r>
          </w:p>
        </w:tc>
      </w:tr>
    </w:tbl>
    <w:p>
      <w:pPr>
        <w:spacing w:before="0" w:after="0"/>
      </w:pPr>
      <w:r>
        <w:rPr>
          <w:sz w:val="18"/>
          <w:szCs w:val="18"/>
        </w:rPr>
        <w:t xml:space="preserve"/>
      </w:r>
    </w:p>
    <w:p>
      <w:pPr>
        <w:pStyle w:val="Heading1"/>
        <w:pBdr>
          <w:bottom w:val="single" w:color="3A72C9" w:sz="6" w:space="4"/>
        </w:pBdr>
        <w:spacing w:before="300" w:after="120"/>
      </w:pPr>
      <w:r>
        <w:rPr>
          <w:rFonts w:ascii="Arial" w:cs="Arial" w:eastAsia="Arial" w:hAnsi="Arial"/>
          <w:b/>
          <w:bCs/>
          <w:color w:val="1B2A4A"/>
          <w:sz w:val="28"/>
          <w:szCs w:val="28"/>
        </w:rPr>
        <w:t xml:space="preserve">6. RESPONSIBILITIES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400"/>
        <w:gridCol w:w="6626"/>
      </w:tblGrid>
      <w:tr>
        <w:trPr>
          <w:tblHeader/>
        </w:trPr>
        <w:tc>
          <w:tcPr>
            <w:tcW w:type="dxa" w:w="24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Role</w:t>
            </w:r>
          </w:p>
        </w:tc>
        <w:tc>
          <w:tcPr>
            <w:tcW w:type="dxa" w:w="6626"/>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Responsibility</w:t>
            </w:r>
          </w:p>
        </w:tc>
      </w:tr>
      <w:tr>
        <w:tc>
          <w:tcPr>
            <w:tcW w:type="dxa" w:w="2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Head Quality Assurance</w:t>
            </w:r>
          </w:p>
        </w:tc>
        <w:tc>
          <w:tcPr>
            <w:tcW w:type="dxa" w:w="66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Approve this SOP; approve the Master BMR Template; final review and sign-off of all completed BMRs before batch disposition; authorise corrections and deviations; ensure BMR retention compliance.</w:t>
            </w:r>
          </w:p>
        </w:tc>
      </w:tr>
      <w:tr>
        <w:tc>
          <w:tcPr>
            <w:tcW w:type="dxa" w:w="2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Head Production</w:t>
            </w:r>
          </w:p>
        </w:tc>
        <w:tc>
          <w:tcPr>
            <w:tcW w:type="dxa" w:w="66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Ensure BMRs are prepared from the current approved MBMF; ensure all production staff are trained in BMR completion per ALCOA+; countersign critical BMR steps; review completed BMR before submission to QA.</w:t>
            </w:r>
          </w:p>
        </w:tc>
      </w:tr>
      <w:tr>
        <w:tc>
          <w:tcPr>
            <w:tcW w:type="dxa" w:w="2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Production Supervisor</w:t>
            </w:r>
          </w:p>
        </w:tc>
        <w:tc>
          <w:tcPr>
            <w:tcW w:type="dxa" w:w="66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Issue BMRs to operators at the start of each batch; countersign all operator entries at the time of each step; ensure entries are contemporaneous and complete; collect and submit completed BMRs to QA.</w:t>
            </w:r>
          </w:p>
        </w:tc>
      </w:tr>
      <w:tr>
        <w:tc>
          <w:tcPr>
            <w:tcW w:type="dxa" w:w="2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Production Operator</w:t>
            </w:r>
          </w:p>
        </w:tc>
        <w:tc>
          <w:tcPr>
            <w:tcW w:type="dxa" w:w="66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Execute manufacturing steps per the BMR instructions; record all data, observations, and results directly in the BMR contemporaneously; sign all completed steps; report deviations immediately to supervisor.</w:t>
            </w:r>
          </w:p>
        </w:tc>
      </w:tr>
      <w:tr>
        <w:tc>
          <w:tcPr>
            <w:tcW w:type="dxa" w:w="2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Head Quality Control</w:t>
            </w:r>
          </w:p>
        </w:tc>
        <w:tc>
          <w:tcPr>
            <w:tcW w:type="dxa" w:w="66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Ensure in-process and finished product testing referenced in the BMR is performed per approved methods; provide QC results for inclusion in the BMR review package.</w:t>
            </w:r>
          </w:p>
        </w:tc>
      </w:tr>
      <w:tr>
        <w:tc>
          <w:tcPr>
            <w:tcW w:type="dxa" w:w="2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Regulatory Affairs</w:t>
            </w:r>
          </w:p>
        </w:tc>
        <w:tc>
          <w:tcPr>
            <w:tcW w:type="dxa" w:w="66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Maintain the approved MBMF as the source for BMR generation; ensure the BMR template reflects the approved manufacturing process in the marketing authorisation/product dossier.</w:t>
            </w:r>
          </w:p>
        </w:tc>
      </w:tr>
      <w:tr>
        <w:tc>
          <w:tcPr>
            <w:tcW w:type="dxa" w:w="2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Document Control (QA)</w:t>
            </w:r>
          </w:p>
        </w:tc>
        <w:tc>
          <w:tcPr>
            <w:tcW w:type="dxa" w:w="66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Issue controlled, pre-numbered BMR booklets; maintain issuance log; archive completed BMRs per the retention schedule; manage BMR version control.</w:t>
            </w:r>
          </w:p>
        </w:tc>
      </w:tr>
    </w:tbl>
    <w:p>
      <w:pPr>
        <w:spacing w:before="0" w:after="0"/>
      </w:pPr>
      <w:r>
        <w:rPr>
          <w:sz w:val="18"/>
          <w:szCs w:val="18"/>
        </w:rPr>
        <w:t xml:space="preserve"/>
      </w:r>
    </w:p>
    <w:p>
      <w:pPr>
        <w:pStyle w:val="Heading1"/>
        <w:pBdr>
          <w:bottom w:val="single" w:color="3A72C9" w:sz="6" w:space="4"/>
        </w:pBdr>
        <w:spacing w:before="300" w:after="120"/>
      </w:pPr>
      <w:r>
        <w:rPr>
          <w:rFonts w:ascii="Arial" w:cs="Arial" w:eastAsia="Arial" w:hAnsi="Arial"/>
          <w:b/>
          <w:bCs/>
          <w:color w:val="1B2A4A"/>
          <w:sz w:val="28"/>
          <w:szCs w:val="28"/>
        </w:rPr>
        <w:t xml:space="preserve">7. DATA INTEGRITY — ALCOA+ REQUIREMENTS FOR BMR COMPLETION</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0"/>
        <w:gridCol w:w="8126"/>
      </w:tblGrid>
      <w:tr>
        <w:tc>
          <w:tcPr>
            <w:tcW w:type="dxa" w:w="900"/>
            <w:tcBorders>
              <w:top w:val="single" w:color="1B2A4A" w:sz="4"/>
              <w:left w:val="single" w:color="1B2A4A" w:sz="4"/>
              <w:bottom w:val="single" w:color="1B2A4A" w:sz="4"/>
              <w:right w:val="single" w:color="1B2A4A" w:sz="4"/>
            </w:tcBorders>
            <w:shd w:fill="F8D7DA" w:val="clear"/>
            <w:tcMar>
              <w:top w:type="dxa" w:w="80"/>
              <w:left w:type="dxa" w:w="100"/>
              <w:bottom w:type="dxa" w:w="80"/>
              <w:right w:type="dxa" w:w="100"/>
            </w:tcMar>
            <w:vAlign w:val="center"/>
          </w:tcPr>
          <w:p>
            <w:pPr>
              <w:jc w:val="center"/>
            </w:pPr>
            <w:r>
              <w:rPr>
                <w:rFonts w:ascii="Arial" w:cs="Arial" w:eastAsia="Arial" w:hAnsi="Arial"/>
                <w:b/>
                <w:bCs/>
                <w:color w:val="1B2A4A"/>
                <w:sz w:val="18"/>
                <w:szCs w:val="18"/>
              </w:rPr>
              <w:t xml:space="preserve">CRITICAL</w:t>
            </w:r>
          </w:p>
        </w:tc>
        <w:tc>
          <w:tcPr>
            <w:tcW w:type="dxa" w:w="8126"/>
            <w:tcBorders>
              <w:top w:val="single" w:color="1B2A4A" w:sz="4"/>
              <w:left w:val="single" w:color="1B2A4A" w:sz="4"/>
              <w:bottom w:val="single" w:color="1B2A4A" w:sz="4"/>
              <w:right w:val="single" w:color="1B2A4A" w:sz="4"/>
            </w:tcBorders>
            <w:shd w:fill="F8D7DA" w:val="clear"/>
            <w:tcMar>
              <w:top w:type="dxa" w:w="80"/>
              <w:left w:type="dxa" w:w="140"/>
              <w:bottom w:type="dxa" w:w="80"/>
              <w:right w:type="dxa" w:w="140"/>
            </w:tcMar>
          </w:tcPr>
          <w:p>
            <w:r>
              <w:rPr>
                <w:rFonts w:ascii="Arial" w:cs="Arial" w:eastAsia="Arial" w:hAnsi="Arial"/>
                <w:i/>
                <w:iCs/>
                <w:sz w:val="18"/>
                <w:szCs w:val="18"/>
              </w:rPr>
              <w:t xml:space="preserve">All BMR entries must comply with ALCOA+ data integrity principles. Non-compliant entries discovered during QA review will result in batch hold and investigation. Deliberate falsification of BMR data is a serious GMP violation and will be escalated per the Site Disciplinary Procedure.</w:t>
            </w:r>
          </w:p>
        </w:tc>
      </w:tr>
    </w:tbl>
    <w:p>
      <w:pPr>
        <w:spacing w:before="0" w:after="0"/>
      </w:pPr>
      <w:r>
        <w:rPr>
          <w:sz w:val="18"/>
          <w:szCs w:val="18"/>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400"/>
        <w:gridCol w:w="2600"/>
        <w:gridCol w:w="5026"/>
      </w:tblGrid>
      <w:tr>
        <w:trPr>
          <w:tblHeader/>
        </w:trPr>
        <w:tc>
          <w:tcPr>
            <w:tcW w:type="dxa" w:w="14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Principle</w:t>
            </w:r>
          </w:p>
        </w:tc>
        <w:tc>
          <w:tcPr>
            <w:tcW w:type="dxa" w:w="26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Requirement</w:t>
            </w:r>
          </w:p>
        </w:tc>
        <w:tc>
          <w:tcPr>
            <w:tcW w:type="dxa" w:w="5026"/>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Practical Application in BMR</w:t>
            </w:r>
          </w:p>
        </w:tc>
      </w:tr>
      <w:tr>
        <w:tc>
          <w:tcPr>
            <w:tcW w:type="dxa" w:w="1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Attributable</w:t>
            </w:r>
          </w:p>
        </w:tc>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Every entry must identify who made it and when.</w:t>
            </w:r>
          </w:p>
        </w:tc>
        <w:tc>
          <w:tcPr>
            <w:tcW w:type="dxa" w:w="50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Sign (name + initials) and date/time each step. Never sign for another person's work. Counter-signatory must verify before signing.</w:t>
            </w:r>
          </w:p>
        </w:tc>
      </w:tr>
      <w:tr>
        <w:tc>
          <w:tcPr>
            <w:tcW w:type="dxa" w:w="1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Legible</w:t>
            </w:r>
          </w:p>
        </w:tc>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All entries must be readable permanently.</w:t>
            </w:r>
          </w:p>
        </w:tc>
        <w:tc>
          <w:tcPr>
            <w:tcW w:type="dxa" w:w="50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Use black or blue ballpoint pen only. No pencil, erasable ink, or felt tip. Entries must be clear, not smudged or faded.</w:t>
            </w:r>
          </w:p>
        </w:tc>
      </w:tr>
      <w:tr>
        <w:tc>
          <w:tcPr>
            <w:tcW w:type="dxa" w:w="1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Contemporaneous</w:t>
            </w:r>
          </w:p>
        </w:tc>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Entries must be made at the time the action occurs.</w:t>
            </w:r>
          </w:p>
        </w:tc>
        <w:tc>
          <w:tcPr>
            <w:tcW w:type="dxa" w:w="50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Do NOT pre-fill BMR steps. Do NOT complete BMR retrospectively after the batch is finished. Fill in real-time.</w:t>
            </w:r>
          </w:p>
        </w:tc>
      </w:tr>
      <w:tr>
        <w:tc>
          <w:tcPr>
            <w:tcW w:type="dxa" w:w="1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Original</w:t>
            </w:r>
          </w:p>
        </w:tc>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The first recording of data is the BMR entry itself.</w:t>
            </w:r>
          </w:p>
        </w:tc>
        <w:tc>
          <w:tcPr>
            <w:tcW w:type="dxa" w:w="50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No scraps of paper, sticky notes, or loose worksheets to be transcribed later. All data goes directly into the BMR.</w:t>
            </w:r>
          </w:p>
        </w:tc>
      </w:tr>
      <w:tr>
        <w:tc>
          <w:tcPr>
            <w:tcW w:type="dxa" w:w="1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Accurate</w:t>
            </w:r>
          </w:p>
        </w:tc>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Entries must truthfully reflect what was observed and done.</w:t>
            </w:r>
          </w:p>
        </w:tc>
        <w:tc>
          <w:tcPr>
            <w:tcW w:type="dxa" w:w="50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Record actual values — never round up/down to make a result look compliant. Record OOL results honestly and raise a deviation.</w:t>
            </w:r>
          </w:p>
        </w:tc>
      </w:tr>
      <w:tr>
        <w:tc>
          <w:tcPr>
            <w:tcW w:type="dxa" w:w="1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Complete</w:t>
            </w:r>
          </w:p>
        </w:tc>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No blank fields; all steps must be addressed.</w:t>
            </w:r>
          </w:p>
        </w:tc>
        <w:tc>
          <w:tcPr>
            <w:tcW w:type="dxa" w:w="50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If a step is not performed, enter 'N/A' with initials and reason. Never leave a field blank. N/A must be initialled.</w:t>
            </w:r>
          </w:p>
        </w:tc>
      </w:tr>
      <w:tr>
        <w:tc>
          <w:tcPr>
            <w:tcW w:type="dxa" w:w="1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Consistent</w:t>
            </w:r>
          </w:p>
        </w:tc>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Data and time sequences must be logical.</w:t>
            </w:r>
          </w:p>
        </w:tc>
        <w:tc>
          <w:tcPr>
            <w:tcW w:type="dxa" w:w="50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Times must be chronological. Steps completed before equipment is cleaned — flag immediately.</w:t>
            </w:r>
          </w:p>
        </w:tc>
      </w:tr>
      <w:tr>
        <w:tc>
          <w:tcPr>
            <w:tcW w:type="dxa" w:w="1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Enduring</w:t>
            </w:r>
          </w:p>
        </w:tc>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Records must remain readable for the full retention period.</w:t>
            </w:r>
          </w:p>
        </w:tc>
        <w:tc>
          <w:tcPr>
            <w:tcW w:type="dxa" w:w="50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Store in a clean, dry, controlled environment. Thermal paper printouts must be photocopied if used.</w:t>
            </w:r>
          </w:p>
        </w:tc>
      </w:tr>
      <w:tr>
        <w:tc>
          <w:tcPr>
            <w:tcW w:type="dxa" w:w="1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Available</w:t>
            </w:r>
          </w:p>
        </w:tc>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Records must be retrievable when needed.</w:t>
            </w:r>
          </w:p>
        </w:tc>
        <w:tc>
          <w:tcPr>
            <w:tcW w:type="dxa" w:w="50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Completed BMRs must be in QA archives within [X] working days of batch completion. Index all BMRs in the batch archive register.</w:t>
            </w:r>
          </w:p>
        </w:tc>
      </w:tr>
    </w:tbl>
    <w:p>
      <w:pPr>
        <w:spacing w:before="0" w:after="0"/>
      </w:pPr>
      <w:r>
        <w:rPr>
          <w:sz w:val="18"/>
          <w:szCs w:val="18"/>
        </w:rPr>
        <w:t xml:space="preserve"/>
      </w:r>
    </w:p>
    <w:p>
      <w:pPr>
        <w:spacing w:before="160" w:after="60"/>
      </w:pPr>
      <w:r>
        <w:rPr>
          <w:rFonts w:ascii="Arial" w:cs="Arial" w:eastAsia="Arial" w:hAnsi="Arial"/>
          <w:b/>
          <w:bCs/>
          <w:color w:val="3A72C9"/>
          <w:sz w:val="20"/>
          <w:szCs w:val="20"/>
        </w:rPr>
        <w:t xml:space="preserve">7.1 Corrections Policy</w:t>
      </w:r>
    </w:p>
    <w:p>
      <w:pPr>
        <w:spacing w:before="60" w:after="60"/>
      </w:pPr>
      <w:r>
        <w:rPr>
          <w:rFonts w:ascii="Arial" w:cs="Arial" w:eastAsia="Arial" w:hAnsi="Arial"/>
          <w:sz w:val="18"/>
          <w:szCs w:val="18"/>
        </w:rPr>
        <w:t xml:space="preserve">Errors in a completed BMR entry must be corrected as follows:</w:t>
      </w:r>
    </w:p>
    <w:p>
      <w:pPr>
        <w:pStyle w:val="ListParagraph"/>
        <w:numPr>
          <w:ilvl w:val="0"/>
          <w:numId w:val="3"/>
        </w:numPr>
        <w:spacing w:before="60" w:after="60"/>
      </w:pPr>
      <w:r>
        <w:rPr>
          <w:rFonts w:ascii="Arial" w:cs="Arial" w:eastAsia="Arial" w:hAnsi="Arial"/>
          <w:sz w:val="18"/>
          <w:szCs w:val="18"/>
        </w:rPr>
        <w:t xml:space="preserve">Draw a single horizontal line through the incorrect entry (the original entry must remain legible).</w:t>
      </w:r>
    </w:p>
    <w:p>
      <w:pPr>
        <w:pStyle w:val="ListParagraph"/>
        <w:numPr>
          <w:ilvl w:val="0"/>
          <w:numId w:val="3"/>
        </w:numPr>
        <w:spacing w:before="60" w:after="60"/>
      </w:pPr>
      <w:r>
        <w:rPr>
          <w:rFonts w:ascii="Arial" w:cs="Arial" w:eastAsia="Arial" w:hAnsi="Arial"/>
          <w:sz w:val="18"/>
          <w:szCs w:val="18"/>
        </w:rPr>
        <w:t xml:space="preserve">Write the correct entry adjacent to or above the strikethrough.</w:t>
      </w:r>
    </w:p>
    <w:p>
      <w:pPr>
        <w:pStyle w:val="ListParagraph"/>
        <w:numPr>
          <w:ilvl w:val="0"/>
          <w:numId w:val="3"/>
        </w:numPr>
        <w:spacing w:before="60" w:after="60"/>
      </w:pPr>
      <w:r>
        <w:rPr>
          <w:rFonts w:ascii="Arial" w:cs="Arial" w:eastAsia="Arial" w:hAnsi="Arial"/>
          <w:sz w:val="18"/>
          <w:szCs w:val="18"/>
        </w:rPr>
        <w:t xml:space="preserve">Initial and date the correction.</w:t>
      </w:r>
    </w:p>
    <w:p>
      <w:pPr>
        <w:pStyle w:val="ListParagraph"/>
        <w:numPr>
          <w:ilvl w:val="0"/>
          <w:numId w:val="3"/>
        </w:numPr>
        <w:spacing w:before="60" w:after="60"/>
      </w:pPr>
      <w:r>
        <w:rPr>
          <w:rFonts w:ascii="Arial" w:cs="Arial" w:eastAsia="Arial" w:hAnsi="Arial"/>
          <w:sz w:val="18"/>
          <w:szCs w:val="18"/>
        </w:rPr>
        <w:t xml:space="preserve">Write a brief reason for the correction (e.g., 'transcription error', 'incorrect unit entered').</w:t>
      </w:r>
    </w:p>
    <w:p>
      <w:pPr>
        <w:pStyle w:val="ListParagraph"/>
        <w:numPr>
          <w:ilvl w:val="0"/>
          <w:numId w:val="3"/>
        </w:numPr>
        <w:spacing w:before="60" w:after="60"/>
      </w:pPr>
      <w:r>
        <w:rPr>
          <w:rFonts w:ascii="Arial" w:cs="Arial" w:eastAsia="Arial" w:hAnsi="Arial"/>
          <w:sz w:val="18"/>
          <w:szCs w:val="18"/>
        </w:rPr>
        <w:t xml:space="preserve">For corrections to critical data (weights, batch numbers, IPC results), a countersignature from the supervisor is mandatory.</w:t>
      </w:r>
    </w:p>
    <w:p>
      <w:pPr>
        <w:spacing w:before="0" w:after="0"/>
      </w:pPr>
      <w:r>
        <w:rPr>
          <w:sz w:val="18"/>
          <w:szCs w:val="18"/>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0"/>
        <w:gridCol w:w="8126"/>
      </w:tblGrid>
      <w:tr>
        <w:tc>
          <w:tcPr>
            <w:tcW w:type="dxa" w:w="900"/>
            <w:tcBorders>
              <w:top w:val="single" w:color="1B2A4A" w:sz="4"/>
              <w:left w:val="single" w:color="1B2A4A" w:sz="4"/>
              <w:bottom w:val="single" w:color="1B2A4A" w:sz="4"/>
              <w:right w:val="single" w:color="1B2A4A" w:sz="4"/>
            </w:tcBorders>
            <w:shd w:fill="F8D7DA" w:val="clear"/>
            <w:tcMar>
              <w:top w:type="dxa" w:w="80"/>
              <w:left w:type="dxa" w:w="100"/>
              <w:bottom w:type="dxa" w:w="80"/>
              <w:right w:type="dxa" w:w="100"/>
            </w:tcMar>
            <w:vAlign w:val="center"/>
          </w:tcPr>
          <w:p>
            <w:pPr>
              <w:jc w:val="center"/>
            </w:pPr>
            <w:r>
              <w:rPr>
                <w:rFonts w:ascii="Arial" w:cs="Arial" w:eastAsia="Arial" w:hAnsi="Arial"/>
                <w:b/>
                <w:bCs/>
                <w:color w:val="1B2A4A"/>
                <w:sz w:val="18"/>
                <w:szCs w:val="18"/>
              </w:rPr>
              <w:t xml:space="preserve">PROHIBITED</w:t>
            </w:r>
          </w:p>
        </w:tc>
        <w:tc>
          <w:tcPr>
            <w:tcW w:type="dxa" w:w="8126"/>
            <w:tcBorders>
              <w:top w:val="single" w:color="1B2A4A" w:sz="4"/>
              <w:left w:val="single" w:color="1B2A4A" w:sz="4"/>
              <w:bottom w:val="single" w:color="1B2A4A" w:sz="4"/>
              <w:right w:val="single" w:color="1B2A4A" w:sz="4"/>
            </w:tcBorders>
            <w:shd w:fill="F8D7DA" w:val="clear"/>
            <w:tcMar>
              <w:top w:type="dxa" w:w="80"/>
              <w:left w:type="dxa" w:w="140"/>
              <w:bottom w:type="dxa" w:w="80"/>
              <w:right w:type="dxa" w:w="140"/>
            </w:tcMar>
          </w:tcPr>
          <w:p>
            <w:r>
              <w:rPr>
                <w:rFonts w:ascii="Arial" w:cs="Arial" w:eastAsia="Arial" w:hAnsi="Arial"/>
                <w:i/>
                <w:iCs/>
                <w:sz w:val="18"/>
                <w:szCs w:val="18"/>
              </w:rPr>
              <w:t xml:space="preserve">Use of correction fluid (Tipp-Ex / white-out), erasure, overwriting, or rendering original entries unreadable is strictly prohibited and constitutes a data integrity violation.</w:t>
            </w:r>
          </w:p>
        </w:tc>
      </w:tr>
    </w:tbl>
    <w:p>
      <w:pPr>
        <w:spacing w:before="0" w:after="0"/>
      </w:pPr>
      <w:r>
        <w:rPr>
          <w:sz w:val="18"/>
          <w:szCs w:val="18"/>
        </w:rPr>
        <w:t xml:space="preserve"/>
      </w:r>
    </w:p>
    <w:p>
      <w:pPr>
        <w:pStyle w:val="Heading1"/>
        <w:pBdr>
          <w:bottom w:val="single" w:color="3A72C9" w:sz="6" w:space="4"/>
        </w:pBdr>
        <w:spacing w:before="300" w:after="120"/>
      </w:pPr>
      <w:r>
        <w:rPr>
          <w:rFonts w:ascii="Arial" w:cs="Arial" w:eastAsia="Arial" w:hAnsi="Arial"/>
          <w:b/>
          <w:bCs/>
          <w:color w:val="1B2A4A"/>
          <w:sz w:val="28"/>
          <w:szCs w:val="28"/>
        </w:rPr>
        <w:t xml:space="preserve">8. MASTER BMR TEMPLATE PREPARATION &amp; CONTROL</w:t>
      </w:r>
    </w:p>
    <w:p>
      <w:pPr>
        <w:pStyle w:val="Heading2"/>
        <w:spacing w:before="200" w:after="80"/>
      </w:pPr>
      <w:r>
        <w:rPr>
          <w:rFonts w:ascii="Arial" w:cs="Arial" w:eastAsia="Arial" w:hAnsi="Arial"/>
          <w:b/>
          <w:bCs/>
          <w:color w:val="2E4D8A"/>
          <w:sz w:val="22"/>
          <w:szCs w:val="22"/>
        </w:rPr>
        <w:t xml:space="preserve">8.1 Basis for BMR Preparation</w:t>
      </w:r>
    </w:p>
    <w:p>
      <w:pPr>
        <w:spacing w:before="60" w:after="60"/>
      </w:pPr>
      <w:r>
        <w:rPr>
          <w:rFonts w:ascii="Arial" w:cs="Arial" w:eastAsia="Arial" w:hAnsi="Arial"/>
          <w:sz w:val="18"/>
          <w:szCs w:val="18"/>
        </w:rPr>
        <w:t xml:space="preserve">The BMR for each product and batch size shall be prepared directly from the currently approved Master Batch Manufacturing Formula (MBMF). The MBMF is the controlled source document approved by QA and Regulatory Affairs. Any deviation between the MBMF and the BMR constitutes a documentation error.</w:t>
      </w:r>
    </w:p>
    <w:p>
      <w:pPr>
        <w:pStyle w:val="ListParagraph"/>
        <w:numPr>
          <w:ilvl w:val="0"/>
          <w:numId w:val="2"/>
        </w:numPr>
        <w:spacing w:before="40" w:after="40"/>
      </w:pPr>
      <w:r>
        <w:rPr>
          <w:rFonts w:ascii="Arial" w:cs="Arial" w:eastAsia="Arial" w:hAnsi="Arial"/>
          <w:sz w:val="18"/>
          <w:szCs w:val="18"/>
        </w:rPr>
        <w:t xml:space="preserve">BMRs must reflect the MBMF version current at the time of manufacture.</w:t>
      </w:r>
    </w:p>
    <w:p>
      <w:pPr>
        <w:pStyle w:val="ListParagraph"/>
        <w:numPr>
          <w:ilvl w:val="0"/>
          <w:numId w:val="2"/>
        </w:numPr>
        <w:spacing w:before="40" w:after="40"/>
      </w:pPr>
      <w:r>
        <w:rPr>
          <w:rFonts w:ascii="Arial" w:cs="Arial" w:eastAsia="Arial" w:hAnsi="Arial"/>
          <w:sz w:val="18"/>
          <w:szCs w:val="18"/>
        </w:rPr>
        <w:t xml:space="preserve">If the MBMF is revised, all subsequent BMRs must reflect the new version; existing stock of old BMR booklets must be recalled and destroyed (records kept).</w:t>
      </w:r>
    </w:p>
    <w:p>
      <w:pPr>
        <w:pStyle w:val="ListParagraph"/>
        <w:numPr>
          <w:ilvl w:val="0"/>
          <w:numId w:val="2"/>
        </w:numPr>
        <w:spacing w:before="40" w:after="40"/>
      </w:pPr>
      <w:r>
        <w:rPr>
          <w:rFonts w:ascii="Arial" w:cs="Arial" w:eastAsia="Arial" w:hAnsi="Arial"/>
          <w:sz w:val="18"/>
          <w:szCs w:val="18"/>
        </w:rPr>
        <w:t xml:space="preserve">BMR template must be reviewed and approved by Head Production, Head QC, and Head QA before first use.</w:t>
      </w:r>
    </w:p>
    <w:p>
      <w:pPr>
        <w:pStyle w:val="ListParagraph"/>
        <w:numPr>
          <w:ilvl w:val="0"/>
          <w:numId w:val="2"/>
        </w:numPr>
        <w:spacing w:before="40" w:after="40"/>
      </w:pPr>
      <w:r>
        <w:rPr>
          <w:rFonts w:ascii="Arial" w:cs="Arial" w:eastAsia="Arial" w:hAnsi="Arial"/>
          <w:sz w:val="18"/>
          <w:szCs w:val="18"/>
        </w:rPr>
        <w:t xml:space="preserve">Each product/batch size combination has a unique BMR template; no manual amendments to the pre-printed sections are permitted.</w:t>
      </w:r>
    </w:p>
    <w:p>
      <w:pPr>
        <w:spacing w:before="0" w:after="0"/>
      </w:pPr>
      <w:r>
        <w:rPr>
          <w:sz w:val="18"/>
          <w:szCs w:val="18"/>
        </w:rPr>
        <w:t xml:space="preserve"/>
      </w:r>
    </w:p>
    <w:p>
      <w:pPr>
        <w:pStyle w:val="Heading2"/>
        <w:spacing w:before="200" w:after="80"/>
      </w:pPr>
      <w:r>
        <w:rPr>
          <w:rFonts w:ascii="Arial" w:cs="Arial" w:eastAsia="Arial" w:hAnsi="Arial"/>
          <w:b/>
          <w:bCs/>
          <w:color w:val="2E4D8A"/>
          <w:sz w:val="22"/>
          <w:szCs w:val="22"/>
        </w:rPr>
        <w:t xml:space="preserve">8.2 Mandatory Sections in Every BMR (Schedule M Cl. 5.2)</w:t>
      </w:r>
    </w:p>
    <w:p>
      <w:pPr>
        <w:spacing w:before="60" w:after="60"/>
      </w:pPr>
      <w:r>
        <w:rPr>
          <w:rFonts w:ascii="Arial" w:cs="Arial" w:eastAsia="Arial" w:hAnsi="Arial"/>
          <w:sz w:val="18"/>
          <w:szCs w:val="18"/>
        </w:rPr>
        <w:t xml:space="preserve">Every BMR for every product must contain the following sections, as required by Schedule M Clause 5.2:</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600"/>
        <w:gridCol w:w="2200"/>
        <w:gridCol w:w="6226"/>
      </w:tblGrid>
      <w:tr>
        <w:trPr>
          <w:tblHeader/>
        </w:trPr>
        <w:tc>
          <w:tcPr>
            <w:tcW w:type="dxa" w:w="6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w:t>
            </w:r>
          </w:p>
        </w:tc>
        <w:tc>
          <w:tcPr>
            <w:tcW w:type="dxa" w:w="22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BMR Section</w:t>
            </w:r>
          </w:p>
        </w:tc>
        <w:tc>
          <w:tcPr>
            <w:tcW w:type="dxa" w:w="6226"/>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Mandatory Content (Schedule M Cl. 5.2 requirement)</w:t>
            </w:r>
          </w:p>
        </w:tc>
      </w:tr>
      <w:tr>
        <w:tc>
          <w:tcPr>
            <w:tcW w:type="dxa" w:w="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A</w:t>
            </w:r>
          </w:p>
        </w:tc>
        <w:tc>
          <w:tcPr>
            <w:tcW w:type="dxa" w:w="22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BMR Header &amp; Identification</w:t>
            </w:r>
          </w:p>
        </w:tc>
        <w:tc>
          <w:tcPr>
            <w:tcW w:type="dxa" w:w="6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Product name; INN (generic name); dosage form &amp; strength; batch number; manufacturing date; expiry date; batch size (theoretical); MBMF reference number and version; site name; manufacturing area</w:t>
            </w:r>
          </w:p>
        </w:tc>
      </w:tr>
      <w:tr>
        <w:tc>
          <w:tcPr>
            <w:tcW w:type="dxa" w:w="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B</w:t>
            </w:r>
          </w:p>
        </w:tc>
        <w:tc>
          <w:tcPr>
            <w:tcW w:type="dxa" w:w="22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Batch Numbering &amp; Traceability</w:t>
            </w:r>
          </w:p>
        </w:tc>
        <w:tc>
          <w:tcPr>
            <w:tcW w:type="dxa" w:w="6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Batch number assignment record; link to previous batch; product code; manufacturing licence number</w:t>
            </w:r>
          </w:p>
        </w:tc>
      </w:tr>
      <w:tr>
        <w:tc>
          <w:tcPr>
            <w:tcW w:type="dxa" w:w="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C</w:t>
            </w:r>
          </w:p>
        </w:tc>
        <w:tc>
          <w:tcPr>
            <w:tcW w:type="dxa" w:w="22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Starting Materials — Dispensing Record</w:t>
            </w:r>
          </w:p>
        </w:tc>
        <w:tc>
          <w:tcPr>
            <w:tcW w:type="dxa" w:w="6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Name, IP/BP/USP grade, item code, supplier, supplier batch, CoA reference, and quantity of each raw material and packaging material dispensed; weights by dispensing operator with counter-check; QC release status</w:t>
            </w:r>
          </w:p>
        </w:tc>
      </w:tr>
      <w:tr>
        <w:tc>
          <w:tcPr>
            <w:tcW w:type="dxa" w:w="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D</w:t>
            </w:r>
          </w:p>
        </w:tc>
        <w:tc>
          <w:tcPr>
            <w:tcW w:type="dxa" w:w="22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Manufacturing Steps &amp; Operator Records</w:t>
            </w:r>
          </w:p>
        </w:tc>
        <w:tc>
          <w:tcPr>
            <w:tcW w:type="dxa" w:w="6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Chronological listing of each significant step; date, time start, time end; equipment ID used; step-specific parameters (speed, temperature, time, pressure); operator signature; supervisor countersignature</w:t>
            </w:r>
          </w:p>
        </w:tc>
      </w:tr>
      <w:tr>
        <w:tc>
          <w:tcPr>
            <w:tcW w:type="dxa" w:w="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E</w:t>
            </w:r>
          </w:p>
        </w:tc>
        <w:tc>
          <w:tcPr>
            <w:tcW w:type="dxa" w:w="22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In-Process Controls (IPCs)</w:t>
            </w:r>
          </w:p>
        </w:tc>
        <w:tc>
          <w:tcPr>
            <w:tcW w:type="dxa" w:w="6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IPC test name; sampling point and method; acceptance criterion; actual result; pass/fail; analyst initials and date; supervisor sign-off</w:t>
            </w:r>
          </w:p>
        </w:tc>
      </w:tr>
      <w:tr>
        <w:tc>
          <w:tcPr>
            <w:tcW w:type="dxa" w:w="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F</w:t>
            </w:r>
          </w:p>
        </w:tc>
        <w:tc>
          <w:tcPr>
            <w:tcW w:type="dxa" w:w="22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Environmental Monitoring</w:t>
            </w:r>
          </w:p>
        </w:tc>
        <w:tc>
          <w:tcPr>
            <w:tcW w:type="dxa" w:w="6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Room temperature, relative humidity, and differential pressure at start and end of critical steps; recorded from calibrated instruments; recorded by operator</w:t>
            </w:r>
          </w:p>
        </w:tc>
      </w:tr>
      <w:tr>
        <w:tc>
          <w:tcPr>
            <w:tcW w:type="dxa" w:w="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G</w:t>
            </w:r>
          </w:p>
        </w:tc>
        <w:tc>
          <w:tcPr>
            <w:tcW w:type="dxa" w:w="22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Yield Calculations &amp; Reconciliation</w:t>
            </w:r>
          </w:p>
        </w:tc>
        <w:tc>
          <w:tcPr>
            <w:tcW w:type="dxa" w:w="6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Theoretical yield; actual yield at each stage; % yield; reconciliation of input materials vs. output + waste + samples; limits for acceptable yield loss; discrepancy investigation trigger</w:t>
            </w:r>
          </w:p>
        </w:tc>
      </w:tr>
      <w:tr>
        <w:tc>
          <w:tcPr>
            <w:tcW w:type="dxa" w:w="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H</w:t>
            </w:r>
          </w:p>
        </w:tc>
        <w:tc>
          <w:tcPr>
            <w:tcW w:type="dxa" w:w="22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Deviations &amp; Unusual Observations</w:t>
            </w:r>
          </w:p>
        </w:tc>
        <w:tc>
          <w:tcPr>
            <w:tcW w:type="dxa" w:w="6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Reference number of any deviation raised; description of deviation; assessed by; QA countersignature; batch disposition impact</w:t>
            </w:r>
          </w:p>
        </w:tc>
      </w:tr>
      <w:tr>
        <w:tc>
          <w:tcPr>
            <w:tcW w:type="dxa" w:w="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I</w:t>
            </w:r>
          </w:p>
        </w:tc>
        <w:tc>
          <w:tcPr>
            <w:tcW w:type="dxa" w:w="22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QC In-Process Results Summary</w:t>
            </w:r>
          </w:p>
        </w:tc>
        <w:tc>
          <w:tcPr>
            <w:tcW w:type="dxa" w:w="6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Summary of all IPC results with pass/fail status; reference to full QC worksheets; Head QC sign-off</w:t>
            </w:r>
          </w:p>
        </w:tc>
      </w:tr>
      <w:tr>
        <w:tc>
          <w:tcPr>
            <w:tcW w:type="dxa" w:w="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J</w:t>
            </w:r>
          </w:p>
        </w:tc>
        <w:tc>
          <w:tcPr>
            <w:tcW w:type="dxa" w:w="22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Batch Review &amp; QA Disposition</w:t>
            </w:r>
          </w:p>
        </w:tc>
        <w:tc>
          <w:tcPr>
            <w:tcW w:type="dxa" w:w="6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Production review sign-off; QA review sign-off; batch disposition decision (PASS / FAIL / PENDING); certificate of analysis reference; approved by Head QA</w:t>
            </w:r>
          </w:p>
        </w:tc>
      </w:tr>
    </w:tbl>
    <w:p>
      <w:pPr>
        <w:spacing w:before="0" w:after="0"/>
      </w:pPr>
      <w:r>
        <w:rPr>
          <w:sz w:val="18"/>
          <w:szCs w:val="18"/>
        </w:rPr>
        <w:t xml:space="preserve"/>
      </w:r>
    </w:p>
    <w:p>
      <w:pPr>
        <w:pStyle w:val="Heading1"/>
        <w:pBdr>
          <w:bottom w:val="single" w:color="3A72C9" w:sz="6" w:space="4"/>
        </w:pBdr>
        <w:spacing w:before="300" w:after="120"/>
      </w:pPr>
      <w:r>
        <w:rPr>
          <w:rFonts w:ascii="Arial" w:cs="Arial" w:eastAsia="Arial" w:hAnsi="Arial"/>
          <w:b/>
          <w:bCs/>
          <w:color w:val="1B2A4A"/>
          <w:sz w:val="28"/>
          <w:szCs w:val="28"/>
        </w:rPr>
        <w:t xml:space="preserve">9. BMR ISSUANCE &amp; PRE-BATCH SETUP</w:t>
      </w:r>
    </w:p>
    <w:p>
      <w:pPr>
        <w:pStyle w:val="Heading2"/>
        <w:spacing w:before="200" w:after="80"/>
      </w:pPr>
      <w:r>
        <w:rPr>
          <w:rFonts w:ascii="Arial" w:cs="Arial" w:eastAsia="Arial" w:hAnsi="Arial"/>
          <w:b/>
          <w:bCs/>
          <w:color w:val="2E4D8A"/>
          <w:sz w:val="22"/>
          <w:szCs w:val="22"/>
        </w:rPr>
        <w:t xml:space="preserve">9.1 BMR Issuance</w:t>
      </w:r>
    </w:p>
    <w:p>
      <w:pPr>
        <w:pStyle w:val="ListParagraph"/>
        <w:numPr>
          <w:ilvl w:val="0"/>
          <w:numId w:val="3"/>
        </w:numPr>
        <w:spacing w:before="60" w:after="60"/>
      </w:pPr>
      <w:r>
        <w:rPr>
          <w:rFonts w:ascii="Arial" w:cs="Arial" w:eastAsia="Arial" w:hAnsi="Arial"/>
          <w:sz w:val="18"/>
          <w:szCs w:val="18"/>
        </w:rPr>
        <w:t xml:space="preserve">Document Control (QA) issues a pre-numbered, controlled BMR booklet for each batch; the BMR number is unique and cannot be reused. Issue is recorded in the BMR Issuance Register [FORM-BMR-ISS-001].</w:t>
      </w:r>
    </w:p>
    <w:p>
      <w:pPr>
        <w:pStyle w:val="ListParagraph"/>
        <w:numPr>
          <w:ilvl w:val="0"/>
          <w:numId w:val="3"/>
        </w:numPr>
        <w:spacing w:before="60" w:after="60"/>
      </w:pPr>
      <w:r>
        <w:rPr>
          <w:rFonts w:ascii="Arial" w:cs="Arial" w:eastAsia="Arial" w:hAnsi="Arial"/>
          <w:sz w:val="18"/>
          <w:szCs w:val="18"/>
        </w:rPr>
        <w:t xml:space="preserve">The BMR is issued to the Production Supervisor against signature in the Issuance Register, confirming: product name, batch number, MBMF version, BMR issue number, and date of issue.</w:t>
      </w:r>
    </w:p>
    <w:p>
      <w:pPr>
        <w:pStyle w:val="ListParagraph"/>
        <w:numPr>
          <w:ilvl w:val="0"/>
          <w:numId w:val="3"/>
        </w:numPr>
        <w:spacing w:before="60" w:after="60"/>
      </w:pPr>
      <w:r>
        <w:rPr>
          <w:rFonts w:ascii="Arial" w:cs="Arial" w:eastAsia="Arial" w:hAnsi="Arial"/>
          <w:sz w:val="18"/>
          <w:szCs w:val="18"/>
        </w:rPr>
        <w:t xml:space="preserve">The Production Supervisor confirms that the BMR version matches the current approved MBMF before issuing to the production area. Any mismatch must be referred to QA immediately.</w:t>
      </w:r>
    </w:p>
    <w:p>
      <w:pPr>
        <w:pStyle w:val="ListParagraph"/>
        <w:numPr>
          <w:ilvl w:val="0"/>
          <w:numId w:val="3"/>
        </w:numPr>
        <w:spacing w:before="60" w:after="60"/>
      </w:pPr>
      <w:r>
        <w:rPr>
          <w:rFonts w:ascii="Arial" w:cs="Arial" w:eastAsia="Arial" w:hAnsi="Arial"/>
          <w:sz w:val="18"/>
          <w:szCs w:val="18"/>
        </w:rPr>
        <w:t xml:space="preserve">BMRs must not be issued for a product whose MBMF has not been approved, or for which QC has not released all required starting materials.</w:t>
      </w:r>
    </w:p>
    <w:p>
      <w:pPr>
        <w:spacing w:before="0" w:after="0"/>
      </w:pPr>
      <w:r>
        <w:rPr>
          <w:sz w:val="18"/>
          <w:szCs w:val="18"/>
        </w:rPr>
        <w:t xml:space="preserve"/>
      </w:r>
    </w:p>
    <w:p>
      <w:pPr>
        <w:pStyle w:val="Heading2"/>
        <w:spacing w:before="200" w:after="80"/>
      </w:pPr>
      <w:r>
        <w:rPr>
          <w:rFonts w:ascii="Arial" w:cs="Arial" w:eastAsia="Arial" w:hAnsi="Arial"/>
          <w:b/>
          <w:bCs/>
          <w:color w:val="2E4D8A"/>
          <w:sz w:val="22"/>
          <w:szCs w:val="22"/>
        </w:rPr>
        <w:t xml:space="preserve">9.2 Pre-Batch Checklist — Operator Verification Before Starting</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0"/>
        <w:gridCol w:w="8126"/>
      </w:tblGrid>
      <w:tr>
        <w:tc>
          <w:tcPr>
            <w:tcW w:type="dxa" w:w="900"/>
            <w:tcBorders>
              <w:top w:val="single" w:color="1B2A4A" w:sz="4"/>
              <w:left w:val="single" w:color="1B2A4A" w:sz="4"/>
              <w:bottom w:val="single" w:color="1B2A4A" w:sz="4"/>
              <w:right w:val="single" w:color="1B2A4A" w:sz="4"/>
            </w:tcBorders>
            <w:shd w:fill="FFF8DC" w:val="clear"/>
            <w:tcMar>
              <w:top w:type="dxa" w:w="80"/>
              <w:left w:type="dxa" w:w="100"/>
              <w:bottom w:type="dxa" w:w="80"/>
              <w:right w:type="dxa" w:w="100"/>
            </w:tcMar>
            <w:vAlign w:val="center"/>
          </w:tcPr>
          <w:p>
            <w:pPr>
              <w:jc w:val="center"/>
            </w:pPr>
            <w:r>
              <w:rPr>
                <w:rFonts w:ascii="Arial" w:cs="Arial" w:eastAsia="Arial" w:hAnsi="Arial"/>
                <w:b/>
                <w:bCs/>
                <w:color w:val="1B2A4A"/>
                <w:sz w:val="18"/>
                <w:szCs w:val="18"/>
              </w:rPr>
              <w:t xml:space="preserve">MANDATORY</w:t>
            </w:r>
          </w:p>
        </w:tc>
        <w:tc>
          <w:tcPr>
            <w:tcW w:type="dxa" w:w="8126"/>
            <w:tcBorders>
              <w:top w:val="single" w:color="1B2A4A" w:sz="4"/>
              <w:left w:val="single" w:color="1B2A4A" w:sz="4"/>
              <w:bottom w:val="single" w:color="1B2A4A" w:sz="4"/>
              <w:right w:val="single" w:color="1B2A4A" w:sz="4"/>
            </w:tcBorders>
            <w:shd w:fill="FFF8DC" w:val="clear"/>
            <w:tcMar>
              <w:top w:type="dxa" w:w="80"/>
              <w:left w:type="dxa" w:w="140"/>
              <w:bottom w:type="dxa" w:w="80"/>
              <w:right w:type="dxa" w:w="140"/>
            </w:tcMar>
          </w:tcPr>
          <w:p>
            <w:r>
              <w:rPr>
                <w:rFonts w:ascii="Arial" w:cs="Arial" w:eastAsia="Arial" w:hAnsi="Arial"/>
                <w:i/>
                <w:iCs/>
                <w:sz w:val="18"/>
                <w:szCs w:val="18"/>
              </w:rPr>
              <w:t xml:space="preserve">The Production Supervisor and operator must complete all pre-batch checks and enter their signatures in the BMR Section A before any manufacturing activity commences. Failure to complete pre-batch checks is a GMP violation.</w:t>
            </w:r>
          </w:p>
        </w:tc>
      </w:tr>
    </w:tbl>
    <w:p>
      <w:pPr>
        <w:spacing w:before="0" w:after="0"/>
      </w:pPr>
      <w:r>
        <w:rPr>
          <w:sz w:val="18"/>
          <w:szCs w:val="18"/>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500"/>
        <w:gridCol w:w="6026"/>
        <w:gridCol w:w="1600"/>
        <w:gridCol w:w="900"/>
      </w:tblGrid>
      <w:tr>
        <w:trPr>
          <w:tblHeader/>
        </w:trPr>
        <w:tc>
          <w:tcPr>
            <w:tcW w:type="dxa" w:w="5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w:t>
            </w:r>
          </w:p>
        </w:tc>
        <w:tc>
          <w:tcPr>
            <w:tcW w:type="dxa" w:w="6026"/>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Pre-Batch Check Item</w:t>
            </w:r>
          </w:p>
        </w:tc>
        <w:tc>
          <w:tcPr>
            <w:tcW w:type="dxa" w:w="16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Verified By</w:t>
            </w:r>
          </w:p>
        </w:tc>
        <w:tc>
          <w:tcPr>
            <w:tcW w:type="dxa" w:w="9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Status</w:t>
            </w:r>
          </w:p>
        </w:tc>
      </w:tr>
      <w:tr>
        <w:tc>
          <w:tcPr>
            <w:tcW w:type="dxa" w:w="5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1</w:t>
            </w:r>
          </w:p>
        </w:tc>
        <w:tc>
          <w:tcPr>
            <w:tcW w:type="dxa" w:w="60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Correct BMR version matches current approved MBMF version and product specification</w:t>
            </w:r>
          </w:p>
        </w:tc>
        <w:tc>
          <w:tcPr>
            <w:tcW w:type="dxa" w:w="1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Supervisor</w:t>
            </w:r>
          </w:p>
        </w:tc>
        <w:tc>
          <w:tcPr>
            <w:tcW w:type="dxa" w:w="900"/>
            <w:tcBorders>
              <w:top w:val="single" w:color="B0B8CC" w:sz="4"/>
              <w:left w:val="single" w:color="B0B8CC" w:sz="4"/>
              <w:bottom w:val="single" w:color="B0B8CC" w:sz="4"/>
              <w:right w:val="single" w:color="B0B8CC" w:sz="4"/>
            </w:tcBorders>
            <w:shd w:fill="D4EDDA" w:val="clear"/>
            <w:tcMar>
              <w:top w:type="dxa" w:w="80"/>
              <w:left w:type="dxa" w:w="140"/>
              <w:bottom w:type="dxa" w:w="80"/>
              <w:right w:type="dxa" w:w="140"/>
            </w:tcMar>
            <w:vAlign w:val="center"/>
          </w:tcPr>
          <w:p>
            <w:pPr>
              <w:jc w:val="left"/>
            </w:pPr>
            <w:r>
              <w:rPr>
                <w:rFonts w:ascii="Arial" w:cs="Arial" w:eastAsia="Arial" w:hAnsi="Arial"/>
                <w:sz w:val="18"/>
                <w:szCs w:val="18"/>
              </w:rPr>
              <w:t xml:space="preserve">☐ Yes  ☐ No</w:t>
            </w:r>
          </w:p>
        </w:tc>
      </w:tr>
      <w:tr>
        <w:tc>
          <w:tcPr>
            <w:tcW w:type="dxa" w:w="5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2</w:t>
            </w:r>
          </w:p>
        </w:tc>
        <w:tc>
          <w:tcPr>
            <w:tcW w:type="dxa" w:w="60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Manufacturing area line clearance completed; no materials, documents, or equipment from previous batch present</w:t>
            </w:r>
          </w:p>
        </w:tc>
        <w:tc>
          <w:tcPr>
            <w:tcW w:type="dxa" w:w="1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Operator + Supervisor</w:t>
            </w:r>
          </w:p>
        </w:tc>
        <w:tc>
          <w:tcPr>
            <w:tcW w:type="dxa" w:w="900"/>
            <w:tcBorders>
              <w:top w:val="single" w:color="B0B8CC" w:sz="4"/>
              <w:left w:val="single" w:color="B0B8CC" w:sz="4"/>
              <w:bottom w:val="single" w:color="B0B8CC" w:sz="4"/>
              <w:right w:val="single" w:color="B0B8CC" w:sz="4"/>
            </w:tcBorders>
            <w:shd w:fill="D4EDDA" w:val="clear"/>
            <w:tcMar>
              <w:top w:type="dxa" w:w="80"/>
              <w:left w:type="dxa" w:w="140"/>
              <w:bottom w:type="dxa" w:w="80"/>
              <w:right w:type="dxa" w:w="140"/>
            </w:tcMar>
            <w:vAlign w:val="center"/>
          </w:tcPr>
          <w:p>
            <w:pPr>
              <w:jc w:val="left"/>
            </w:pPr>
            <w:r>
              <w:rPr>
                <w:rFonts w:ascii="Arial" w:cs="Arial" w:eastAsia="Arial" w:hAnsi="Arial"/>
                <w:sz w:val="18"/>
                <w:szCs w:val="18"/>
              </w:rPr>
              <w:t xml:space="preserve">☐ Pass  ☐ Fail</w:t>
            </w:r>
          </w:p>
        </w:tc>
      </w:tr>
      <w:tr>
        <w:tc>
          <w:tcPr>
            <w:tcW w:type="dxa" w:w="5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3</w:t>
            </w:r>
          </w:p>
        </w:tc>
        <w:tc>
          <w:tcPr>
            <w:tcW w:type="dxa" w:w="60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Line clearance certificate [FORM-CLN-LC-001] signed and attached to BMR</w:t>
            </w:r>
          </w:p>
        </w:tc>
        <w:tc>
          <w:tcPr>
            <w:tcW w:type="dxa" w:w="1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Supervisor</w:t>
            </w:r>
          </w:p>
        </w:tc>
        <w:tc>
          <w:tcPr>
            <w:tcW w:type="dxa" w:w="900"/>
            <w:tcBorders>
              <w:top w:val="single" w:color="B0B8CC" w:sz="4"/>
              <w:left w:val="single" w:color="B0B8CC" w:sz="4"/>
              <w:bottom w:val="single" w:color="B0B8CC" w:sz="4"/>
              <w:right w:val="single" w:color="B0B8CC" w:sz="4"/>
            </w:tcBorders>
            <w:shd w:fill="D4EDDA" w:val="clear"/>
            <w:tcMar>
              <w:top w:type="dxa" w:w="80"/>
              <w:left w:type="dxa" w:w="140"/>
              <w:bottom w:type="dxa" w:w="80"/>
              <w:right w:type="dxa" w:w="140"/>
            </w:tcMar>
            <w:vAlign w:val="center"/>
          </w:tcPr>
          <w:p>
            <w:pPr>
              <w:jc w:val="left"/>
            </w:pPr>
            <w:r>
              <w:rPr>
                <w:rFonts w:ascii="Arial" w:cs="Arial" w:eastAsia="Arial" w:hAnsi="Arial"/>
                <w:sz w:val="18"/>
                <w:szCs w:val="18"/>
              </w:rPr>
              <w:t xml:space="preserve">☐ Attached</w:t>
            </w:r>
          </w:p>
        </w:tc>
      </w:tr>
      <w:tr>
        <w:tc>
          <w:tcPr>
            <w:tcW w:type="dxa" w:w="5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4</w:t>
            </w:r>
          </w:p>
        </w:tc>
        <w:tc>
          <w:tcPr>
            <w:tcW w:type="dxa" w:w="60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All required starting materials are QC-APPROVED, labelled correctly, and quantities match the BMR dispensing plan</w:t>
            </w:r>
          </w:p>
        </w:tc>
        <w:tc>
          <w:tcPr>
            <w:tcW w:type="dxa" w:w="1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Operator + Dispenser</w:t>
            </w:r>
          </w:p>
        </w:tc>
        <w:tc>
          <w:tcPr>
            <w:tcW w:type="dxa" w:w="900"/>
            <w:tcBorders>
              <w:top w:val="single" w:color="B0B8CC" w:sz="4"/>
              <w:left w:val="single" w:color="B0B8CC" w:sz="4"/>
              <w:bottom w:val="single" w:color="B0B8CC" w:sz="4"/>
              <w:right w:val="single" w:color="B0B8CC" w:sz="4"/>
            </w:tcBorders>
            <w:shd w:fill="D4EDDA" w:val="clear"/>
            <w:tcMar>
              <w:top w:type="dxa" w:w="80"/>
              <w:left w:type="dxa" w:w="140"/>
              <w:bottom w:type="dxa" w:w="80"/>
              <w:right w:type="dxa" w:w="140"/>
            </w:tcMar>
            <w:vAlign w:val="center"/>
          </w:tcPr>
          <w:p>
            <w:pPr>
              <w:jc w:val="left"/>
            </w:pPr>
            <w:r>
              <w:rPr>
                <w:rFonts w:ascii="Arial" w:cs="Arial" w:eastAsia="Arial" w:hAnsi="Arial"/>
                <w:sz w:val="18"/>
                <w:szCs w:val="18"/>
              </w:rPr>
              <w:t xml:space="preserve">☐ Confirmed</w:t>
            </w:r>
          </w:p>
        </w:tc>
      </w:tr>
      <w:tr>
        <w:tc>
          <w:tcPr>
            <w:tcW w:type="dxa" w:w="5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5</w:t>
            </w:r>
          </w:p>
        </w:tc>
        <w:tc>
          <w:tcPr>
            <w:tcW w:type="dxa" w:w="60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All required equipment is CLEAN (CLEAN label present, CHT not expired), correctly assembled, and calibrated</w:t>
            </w:r>
          </w:p>
        </w:tc>
        <w:tc>
          <w:tcPr>
            <w:tcW w:type="dxa" w:w="1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Operator</w:t>
            </w:r>
          </w:p>
        </w:tc>
        <w:tc>
          <w:tcPr>
            <w:tcW w:type="dxa" w:w="900"/>
            <w:tcBorders>
              <w:top w:val="single" w:color="B0B8CC" w:sz="4"/>
              <w:left w:val="single" w:color="B0B8CC" w:sz="4"/>
              <w:bottom w:val="single" w:color="B0B8CC" w:sz="4"/>
              <w:right w:val="single" w:color="B0B8CC" w:sz="4"/>
            </w:tcBorders>
            <w:shd w:fill="D4EDDA" w:val="clear"/>
            <w:tcMar>
              <w:top w:type="dxa" w:w="80"/>
              <w:left w:type="dxa" w:w="140"/>
              <w:bottom w:type="dxa" w:w="80"/>
              <w:right w:type="dxa" w:w="140"/>
            </w:tcMar>
            <w:vAlign w:val="center"/>
          </w:tcPr>
          <w:p>
            <w:pPr>
              <w:jc w:val="left"/>
            </w:pPr>
            <w:r>
              <w:rPr>
                <w:rFonts w:ascii="Arial" w:cs="Arial" w:eastAsia="Arial" w:hAnsi="Arial"/>
                <w:sz w:val="18"/>
                <w:szCs w:val="18"/>
              </w:rPr>
              <w:t xml:space="preserve">☐ Confirmed</w:t>
            </w:r>
          </w:p>
        </w:tc>
      </w:tr>
      <w:tr>
        <w:tc>
          <w:tcPr>
            <w:tcW w:type="dxa" w:w="5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6</w:t>
            </w:r>
          </w:p>
        </w:tc>
        <w:tc>
          <w:tcPr>
            <w:tcW w:type="dxa" w:w="60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Production area temperature and humidity are within specification; values recorded in Section F (Environmental Monitoring)</w:t>
            </w:r>
          </w:p>
        </w:tc>
        <w:tc>
          <w:tcPr>
            <w:tcW w:type="dxa" w:w="1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Operator</w:t>
            </w:r>
          </w:p>
        </w:tc>
        <w:tc>
          <w:tcPr>
            <w:tcW w:type="dxa" w:w="900"/>
            <w:tcBorders>
              <w:top w:val="single" w:color="B0B8CC" w:sz="4"/>
              <w:left w:val="single" w:color="B0B8CC" w:sz="4"/>
              <w:bottom w:val="single" w:color="B0B8CC" w:sz="4"/>
              <w:right w:val="single" w:color="B0B8CC" w:sz="4"/>
            </w:tcBorders>
            <w:shd w:fill="D4EDDA" w:val="clear"/>
            <w:tcMar>
              <w:top w:type="dxa" w:w="80"/>
              <w:left w:type="dxa" w:w="140"/>
              <w:bottom w:type="dxa" w:w="80"/>
              <w:right w:type="dxa" w:w="140"/>
            </w:tcMar>
            <w:vAlign w:val="center"/>
          </w:tcPr>
          <w:p>
            <w:pPr>
              <w:jc w:val="left"/>
            </w:pPr>
            <w:r>
              <w:rPr>
                <w:rFonts w:ascii="Arial" w:cs="Arial" w:eastAsia="Arial" w:hAnsi="Arial"/>
                <w:sz w:val="18"/>
                <w:szCs w:val="18"/>
              </w:rPr>
              <w:t xml:space="preserve">☐ Recorded</w:t>
            </w:r>
          </w:p>
        </w:tc>
      </w:tr>
      <w:tr>
        <w:tc>
          <w:tcPr>
            <w:tcW w:type="dxa" w:w="5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7</w:t>
            </w:r>
          </w:p>
        </w:tc>
        <w:tc>
          <w:tcPr>
            <w:tcW w:type="dxa" w:w="60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Positive/differential room pressure (if applicable to dosage form) is within limits; BMS reading recorded</w:t>
            </w:r>
          </w:p>
        </w:tc>
        <w:tc>
          <w:tcPr>
            <w:tcW w:type="dxa" w:w="1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Operator</w:t>
            </w:r>
          </w:p>
        </w:tc>
        <w:tc>
          <w:tcPr>
            <w:tcW w:type="dxa" w:w="900"/>
            <w:tcBorders>
              <w:top w:val="single" w:color="B0B8CC" w:sz="4"/>
              <w:left w:val="single" w:color="B0B8CC" w:sz="4"/>
              <w:bottom w:val="single" w:color="B0B8CC" w:sz="4"/>
              <w:right w:val="single" w:color="B0B8CC" w:sz="4"/>
            </w:tcBorders>
            <w:shd w:fill="D4EDDA" w:val="clear"/>
            <w:tcMar>
              <w:top w:type="dxa" w:w="80"/>
              <w:left w:type="dxa" w:w="140"/>
              <w:bottom w:type="dxa" w:w="80"/>
              <w:right w:type="dxa" w:w="140"/>
            </w:tcMar>
            <w:vAlign w:val="center"/>
          </w:tcPr>
          <w:p>
            <w:pPr>
              <w:jc w:val="left"/>
            </w:pPr>
            <w:r>
              <w:rPr>
                <w:rFonts w:ascii="Arial" w:cs="Arial" w:eastAsia="Arial" w:hAnsi="Arial"/>
                <w:sz w:val="18"/>
                <w:szCs w:val="18"/>
              </w:rPr>
              <w:t xml:space="preserve">☐ Recorded  ☐ N/A</w:t>
            </w:r>
          </w:p>
        </w:tc>
      </w:tr>
      <w:tr>
        <w:tc>
          <w:tcPr>
            <w:tcW w:type="dxa" w:w="5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8</w:t>
            </w:r>
          </w:p>
        </w:tc>
        <w:tc>
          <w:tcPr>
            <w:tcW w:type="dxa" w:w="60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All weighing balances in use have been daily-checked with reference weights today; results are within limits</w:t>
            </w:r>
          </w:p>
        </w:tc>
        <w:tc>
          <w:tcPr>
            <w:tcW w:type="dxa" w:w="1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Operator</w:t>
            </w:r>
          </w:p>
        </w:tc>
        <w:tc>
          <w:tcPr>
            <w:tcW w:type="dxa" w:w="900"/>
            <w:tcBorders>
              <w:top w:val="single" w:color="B0B8CC" w:sz="4"/>
              <w:left w:val="single" w:color="B0B8CC" w:sz="4"/>
              <w:bottom w:val="single" w:color="B0B8CC" w:sz="4"/>
              <w:right w:val="single" w:color="B0B8CC" w:sz="4"/>
            </w:tcBorders>
            <w:shd w:fill="D4EDDA" w:val="clear"/>
            <w:tcMar>
              <w:top w:type="dxa" w:w="80"/>
              <w:left w:type="dxa" w:w="140"/>
              <w:bottom w:type="dxa" w:w="80"/>
              <w:right w:type="dxa" w:w="140"/>
            </w:tcMar>
            <w:vAlign w:val="center"/>
          </w:tcPr>
          <w:p>
            <w:pPr>
              <w:jc w:val="left"/>
            </w:pPr>
            <w:r>
              <w:rPr>
                <w:rFonts w:ascii="Arial" w:cs="Arial" w:eastAsia="Arial" w:hAnsi="Arial"/>
                <w:sz w:val="18"/>
                <w:szCs w:val="18"/>
              </w:rPr>
              <w:t xml:space="preserve">☐ Confirmed</w:t>
            </w:r>
          </w:p>
        </w:tc>
      </w:tr>
      <w:tr>
        <w:tc>
          <w:tcPr>
            <w:tcW w:type="dxa" w:w="5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9</w:t>
            </w:r>
          </w:p>
        </w:tc>
        <w:tc>
          <w:tcPr>
            <w:tcW w:type="dxa" w:w="60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Operator has confirmed their training is current for this product and dosage form; training record referenced</w:t>
            </w:r>
          </w:p>
        </w:tc>
        <w:tc>
          <w:tcPr>
            <w:tcW w:type="dxa" w:w="1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Operator</w:t>
            </w:r>
          </w:p>
        </w:tc>
        <w:tc>
          <w:tcPr>
            <w:tcW w:type="dxa" w:w="900"/>
            <w:tcBorders>
              <w:top w:val="single" w:color="B0B8CC" w:sz="4"/>
              <w:left w:val="single" w:color="B0B8CC" w:sz="4"/>
              <w:bottom w:val="single" w:color="B0B8CC" w:sz="4"/>
              <w:right w:val="single" w:color="B0B8CC" w:sz="4"/>
            </w:tcBorders>
            <w:shd w:fill="D4EDDA" w:val="clear"/>
            <w:tcMar>
              <w:top w:type="dxa" w:w="80"/>
              <w:left w:type="dxa" w:w="140"/>
              <w:bottom w:type="dxa" w:w="80"/>
              <w:right w:type="dxa" w:w="140"/>
            </w:tcMar>
            <w:vAlign w:val="center"/>
          </w:tcPr>
          <w:p>
            <w:pPr>
              <w:jc w:val="left"/>
            </w:pPr>
            <w:r>
              <w:rPr>
                <w:rFonts w:ascii="Arial" w:cs="Arial" w:eastAsia="Arial" w:hAnsi="Arial"/>
                <w:sz w:val="18"/>
                <w:szCs w:val="18"/>
              </w:rPr>
              <w:t xml:space="preserve">☐ Confirmed</w:t>
            </w:r>
          </w:p>
        </w:tc>
      </w:tr>
      <w:tr>
        <w:tc>
          <w:tcPr>
            <w:tcW w:type="dxa" w:w="5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10</w:t>
            </w:r>
          </w:p>
        </w:tc>
        <w:tc>
          <w:tcPr>
            <w:tcW w:type="dxa" w:w="60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Batch number has been correctly entered on all relevant BMR sections, labels, and equipment logbooks</w:t>
            </w:r>
          </w:p>
        </w:tc>
        <w:tc>
          <w:tcPr>
            <w:tcW w:type="dxa" w:w="1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Supervisor</w:t>
            </w:r>
          </w:p>
        </w:tc>
        <w:tc>
          <w:tcPr>
            <w:tcW w:type="dxa" w:w="900"/>
            <w:tcBorders>
              <w:top w:val="single" w:color="B0B8CC" w:sz="4"/>
              <w:left w:val="single" w:color="B0B8CC" w:sz="4"/>
              <w:bottom w:val="single" w:color="B0B8CC" w:sz="4"/>
              <w:right w:val="single" w:color="B0B8CC" w:sz="4"/>
            </w:tcBorders>
            <w:shd w:fill="D4EDDA" w:val="clear"/>
            <w:tcMar>
              <w:top w:type="dxa" w:w="80"/>
              <w:left w:type="dxa" w:w="140"/>
              <w:bottom w:type="dxa" w:w="80"/>
              <w:right w:type="dxa" w:w="140"/>
            </w:tcMar>
            <w:vAlign w:val="center"/>
          </w:tcPr>
          <w:p>
            <w:pPr>
              <w:jc w:val="left"/>
            </w:pPr>
            <w:r>
              <w:rPr>
                <w:rFonts w:ascii="Arial" w:cs="Arial" w:eastAsia="Arial" w:hAnsi="Arial"/>
                <w:sz w:val="18"/>
                <w:szCs w:val="18"/>
              </w:rPr>
              <w:t xml:space="preserve">☐ Confirmed</w:t>
            </w:r>
          </w:p>
        </w:tc>
      </w:tr>
    </w:tbl>
    <w:p>
      <w:pPr>
        <w:spacing w:before="0" w:after="0"/>
      </w:pPr>
      <w:r>
        <w:rPr>
          <w:sz w:val="18"/>
          <w:szCs w:val="18"/>
        </w:rPr>
        <w:t xml:space="preserve"/>
      </w:r>
    </w:p>
    <w:p>
      <w:pPr>
        <w:pStyle w:val="Heading1"/>
        <w:pBdr>
          <w:bottom w:val="single" w:color="3A72C9" w:sz="6" w:space="4"/>
        </w:pBdr>
        <w:spacing w:before="300" w:after="120"/>
      </w:pPr>
      <w:r>
        <w:rPr>
          <w:rFonts w:ascii="Arial" w:cs="Arial" w:eastAsia="Arial" w:hAnsi="Arial"/>
          <w:b/>
          <w:bCs/>
          <w:color w:val="1B2A4A"/>
          <w:sz w:val="28"/>
          <w:szCs w:val="28"/>
        </w:rPr>
        <w:t xml:space="preserve">10. MATERIALS DISPENSING RECORD (BMR SECTION C)</w:t>
      </w:r>
    </w:p>
    <w:p>
      <w:pPr>
        <w:spacing w:before="60" w:after="60"/>
      </w:pPr>
      <w:r>
        <w:rPr>
          <w:rFonts w:ascii="Arial" w:cs="Arial" w:eastAsia="Arial" w:hAnsi="Arial"/>
          <w:sz w:val="18"/>
          <w:szCs w:val="18"/>
        </w:rPr>
        <w:t xml:space="preserve">The dispensing record shall capture all starting materials, active pharmaceutical ingredients (APIs), and excipients weighed and dispensed for the batch. The following requirements apply:</w:t>
      </w:r>
    </w:p>
    <w:p>
      <w:pPr>
        <w:pStyle w:val="ListParagraph"/>
        <w:numPr>
          <w:ilvl w:val="0"/>
          <w:numId w:val="2"/>
        </w:numPr>
        <w:spacing w:before="40" w:after="40"/>
      </w:pPr>
      <w:r>
        <w:rPr>
          <w:rFonts w:ascii="Arial" w:cs="Arial" w:eastAsia="Arial" w:hAnsi="Arial"/>
          <w:sz w:val="18"/>
          <w:szCs w:val="18"/>
        </w:rPr>
        <w:t xml:space="preserve">Dispensing must be performed in the designated, cleaned Dispensing Area by trained, authorised personnel only.</w:t>
      </w:r>
    </w:p>
    <w:p>
      <w:pPr>
        <w:pStyle w:val="ListParagraph"/>
        <w:numPr>
          <w:ilvl w:val="0"/>
          <w:numId w:val="2"/>
        </w:numPr>
        <w:spacing w:before="40" w:after="40"/>
      </w:pPr>
      <w:r>
        <w:rPr>
          <w:rFonts w:ascii="Arial" w:cs="Arial" w:eastAsia="Arial" w:hAnsi="Arial"/>
          <w:sz w:val="18"/>
          <w:szCs w:val="18"/>
        </w:rPr>
        <w:t xml:space="preserve">Each material must be independently weighed and a second person (independent counter-check) must verify and sign for every weighed quantity before the material leaves the dispensing area.</w:t>
      </w:r>
    </w:p>
    <w:p>
      <w:pPr>
        <w:pStyle w:val="ListParagraph"/>
        <w:numPr>
          <w:ilvl w:val="0"/>
          <w:numId w:val="2"/>
        </w:numPr>
        <w:spacing w:before="40" w:after="40"/>
      </w:pPr>
      <w:r>
        <w:rPr>
          <w:rFonts w:ascii="Arial" w:cs="Arial" w:eastAsia="Arial" w:hAnsi="Arial"/>
          <w:sz w:val="18"/>
          <w:szCs w:val="18"/>
        </w:rPr>
        <w:t xml:space="preserve">Quantities must be entered in the BMR at the time of weighing — never pre-filled, never estimated.</w:t>
      </w:r>
    </w:p>
    <w:p>
      <w:pPr>
        <w:pStyle w:val="ListParagraph"/>
        <w:numPr>
          <w:ilvl w:val="0"/>
          <w:numId w:val="2"/>
        </w:numPr>
        <w:spacing w:before="40" w:after="40"/>
      </w:pPr>
      <w:r>
        <w:rPr>
          <w:rFonts w:ascii="Arial" w:cs="Arial" w:eastAsia="Arial" w:hAnsi="Arial"/>
          <w:sz w:val="18"/>
          <w:szCs w:val="18"/>
        </w:rPr>
        <w:t xml:space="preserve">If a dispensed quantity is outside the permitted tolerance (as defined in the MBMF), the material must be re-weighed and the deviation captured per Section 13 of this SOP.</w:t>
      </w:r>
    </w:p>
    <w:p>
      <w:pPr>
        <w:spacing w:before="0" w:after="0"/>
      </w:pPr>
      <w:r>
        <w:rPr>
          <w:sz w:val="18"/>
          <w:szCs w:val="18"/>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60"/>
        <w:gridCol w:w="1400"/>
        <w:gridCol w:w="1000"/>
        <w:gridCol w:w="700"/>
        <w:gridCol w:w="1100"/>
        <w:gridCol w:w="900"/>
        <w:gridCol w:w="900"/>
        <w:gridCol w:w="900"/>
        <w:gridCol w:w="966"/>
      </w:tblGrid>
      <w:tr>
        <w:trPr>
          <w:tblHeader/>
        </w:trPr>
        <w:tc>
          <w:tcPr>
            <w:tcW w:type="dxa" w:w="16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S.No</w:t>
            </w:r>
          </w:p>
        </w:tc>
        <w:tc>
          <w:tcPr>
            <w:tcW w:type="dxa" w:w="14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Material Name &amp; Grade</w:t>
            </w:r>
          </w:p>
        </w:tc>
        <w:tc>
          <w:tcPr>
            <w:tcW w:type="dxa" w:w="10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Item Code</w:t>
            </w:r>
          </w:p>
        </w:tc>
        <w:tc>
          <w:tcPr>
            <w:tcW w:type="dxa" w:w="7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Supplier Batch No.</w:t>
            </w:r>
          </w:p>
        </w:tc>
        <w:tc>
          <w:tcPr>
            <w:tcW w:type="dxa" w:w="11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CoA / QC Release Ref.</w:t>
            </w:r>
          </w:p>
        </w:tc>
        <w:tc>
          <w:tcPr>
            <w:tcW w:type="dxa" w:w="9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Theoretical Qty (MBMF)</w:t>
            </w:r>
          </w:p>
        </w:tc>
        <w:tc>
          <w:tcPr>
            <w:tcW w:type="dxa" w:w="9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Actual Qty Dispensed</w:t>
            </w:r>
          </w:p>
        </w:tc>
        <w:tc>
          <w:tcPr>
            <w:tcW w:type="dxa" w:w="9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Dispensed By (Sign + Date)</w:t>
            </w:r>
          </w:p>
        </w:tc>
        <w:tc>
          <w:tcPr>
            <w:tcW w:type="dxa" w:w="966"/>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Counter-Check By (Sign + Date)</w:t>
            </w:r>
          </w:p>
        </w:tc>
      </w:tr>
      <w:tr>
        <w:tc>
          <w:tcPr>
            <w:tcW w:type="dxa" w:w="16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1</w:t>
            </w:r>
          </w:p>
        </w:tc>
        <w:tc>
          <w:tcPr>
            <w:tcW w:type="dxa" w:w="14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0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7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1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9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9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9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96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r>
      <w:tr>
        <w:tc>
          <w:tcPr>
            <w:tcW w:type="dxa" w:w="16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2</w:t>
            </w:r>
          </w:p>
        </w:tc>
        <w:tc>
          <w:tcPr>
            <w:tcW w:type="dxa" w:w="14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0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7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1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9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9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9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96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r>
      <w:tr>
        <w:tc>
          <w:tcPr>
            <w:tcW w:type="dxa" w:w="16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3</w:t>
            </w:r>
          </w:p>
        </w:tc>
        <w:tc>
          <w:tcPr>
            <w:tcW w:type="dxa" w:w="14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0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7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1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9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9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9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96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r>
      <w:tr>
        <w:tc>
          <w:tcPr>
            <w:tcW w:type="dxa" w:w="16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4</w:t>
            </w:r>
          </w:p>
        </w:tc>
        <w:tc>
          <w:tcPr>
            <w:tcW w:type="dxa" w:w="14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0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7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1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9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9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9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96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r>
      <w:tr>
        <w:tc>
          <w:tcPr>
            <w:tcW w:type="dxa" w:w="16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5</w:t>
            </w:r>
          </w:p>
        </w:tc>
        <w:tc>
          <w:tcPr>
            <w:tcW w:type="dxa" w:w="14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0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7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1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9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9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9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96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r>
      <w:tr>
        <w:tc>
          <w:tcPr>
            <w:tcW w:type="dxa" w:w="16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6</w:t>
            </w:r>
          </w:p>
        </w:tc>
        <w:tc>
          <w:tcPr>
            <w:tcW w:type="dxa" w:w="14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0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7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1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9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9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9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96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r>
      <w:tr>
        <w:tc>
          <w:tcPr>
            <w:tcW w:type="dxa" w:w="16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7</w:t>
            </w:r>
          </w:p>
        </w:tc>
        <w:tc>
          <w:tcPr>
            <w:tcW w:type="dxa" w:w="14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0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7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1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9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9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9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96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r>
      <w:tr>
        <w:tc>
          <w:tcPr>
            <w:tcW w:type="dxa" w:w="16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8</w:t>
            </w:r>
          </w:p>
        </w:tc>
        <w:tc>
          <w:tcPr>
            <w:tcW w:type="dxa" w:w="14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0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7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1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9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9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9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96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r>
      <w:tr>
        <w:tc>
          <w:tcPr>
            <w:tcW w:type="dxa" w:w="5260"/>
            <w:gridSpan w:val="5"/>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tcPr>
          <w:p>
            <w:r>
              <w:rPr>
                <w:rFonts w:ascii="Arial" w:cs="Arial" w:eastAsia="Arial" w:hAnsi="Arial"/>
                <w:b/>
                <w:bCs/>
                <w:color w:val="1B2A4A"/>
                <w:sz w:val="18"/>
                <w:szCs w:val="18"/>
              </w:rPr>
              <w:t xml:space="preserve">TOTAL WEIGHT OF DISPENSED MATERIALS:</w:t>
            </w:r>
          </w:p>
        </w:tc>
        <w:tc>
          <w:tcPr>
            <w:tcW w:type="dxa" w:w="9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9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9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Dispensing Supervisor:</w:t>
            </w:r>
          </w:p>
        </w:tc>
        <w:tc>
          <w:tcPr>
            <w:tcW w:type="dxa" w:w="96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_______________</w:t>
            </w:r>
          </w:p>
        </w:tc>
      </w:tr>
    </w:tbl>
    <w:p>
      <w:pPr>
        <w:spacing w:before="0" w:after="0"/>
      </w:pPr>
      <w:r>
        <w:rPr>
          <w:sz w:val="18"/>
          <w:szCs w:val="18"/>
        </w:rPr>
        <w:t xml:space="preserve"/>
      </w:r>
    </w:p>
    <w:p>
      <w:pPr>
        <w:pStyle w:val="Heading1"/>
        <w:pBdr>
          <w:bottom w:val="single" w:color="3A72C9" w:sz="6" w:space="4"/>
        </w:pBdr>
        <w:spacing w:before="300" w:after="120"/>
      </w:pPr>
      <w:r>
        <w:rPr>
          <w:rFonts w:ascii="Arial" w:cs="Arial" w:eastAsia="Arial" w:hAnsi="Arial"/>
          <w:b/>
          <w:bCs/>
          <w:color w:val="1B2A4A"/>
          <w:sz w:val="28"/>
          <w:szCs w:val="28"/>
        </w:rPr>
        <w:t xml:space="preserve">11. MANUFACTURING STEPS &amp; IN-PROCESS CONTROLS (BMR SECTIONS D &amp; E)</w:t>
      </w:r>
    </w:p>
    <w:p>
      <w:pPr>
        <w:spacing w:before="60" w:after="60"/>
      </w:pPr>
      <w:r>
        <w:rPr>
          <w:rFonts w:ascii="Arial" w:cs="Arial" w:eastAsia="Arial" w:hAnsi="Arial"/>
          <w:sz w:val="18"/>
          <w:szCs w:val="18"/>
        </w:rPr>
        <w:t xml:space="preserve">Each significant manufacturing step must be recorded in the BMR as it is performed. The standard format for each step entry is shown below. Steps are pre-printed in the BMR based on the MBMF; operators record actual values, times, and observations in the designated fields.</w:t>
      </w:r>
    </w:p>
    <w:p>
      <w:pPr>
        <w:spacing w:before="0" w:after="0"/>
      </w:pPr>
      <w:r>
        <w:rPr>
          <w:sz w:val="18"/>
          <w:szCs w:val="18"/>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0"/>
        <w:gridCol w:w="8126"/>
      </w:tblGrid>
      <w:tr>
        <w:tc>
          <w:tcPr>
            <w:tcW w:type="dxa" w:w="900"/>
            <w:tcBorders>
              <w:top w:val="single" w:color="1B2A4A" w:sz="4"/>
              <w:left w:val="single" w:color="1B2A4A" w:sz="4"/>
              <w:bottom w:val="single" w:color="1B2A4A" w:sz="4"/>
              <w:right w:val="single" w:color="1B2A4A" w:sz="4"/>
            </w:tcBorders>
            <w:shd w:fill="FFF8DC" w:val="clear"/>
            <w:tcMar>
              <w:top w:type="dxa" w:w="80"/>
              <w:left w:type="dxa" w:w="100"/>
              <w:bottom w:type="dxa" w:w="80"/>
              <w:right w:type="dxa" w:w="100"/>
            </w:tcMar>
            <w:vAlign w:val="center"/>
          </w:tcPr>
          <w:p>
            <w:pPr>
              <w:jc w:val="center"/>
            </w:pPr>
            <w:r>
              <w:rPr>
                <w:rFonts w:ascii="Arial" w:cs="Arial" w:eastAsia="Arial" w:hAnsi="Arial"/>
                <w:b/>
                <w:bCs/>
                <w:color w:val="1B2A4A"/>
                <w:sz w:val="18"/>
                <w:szCs w:val="18"/>
              </w:rPr>
              <w:t xml:space="preserve">TIME RECORDING</w:t>
            </w:r>
          </w:p>
        </w:tc>
        <w:tc>
          <w:tcPr>
            <w:tcW w:type="dxa" w:w="8126"/>
            <w:tcBorders>
              <w:top w:val="single" w:color="1B2A4A" w:sz="4"/>
              <w:left w:val="single" w:color="1B2A4A" w:sz="4"/>
              <w:bottom w:val="single" w:color="1B2A4A" w:sz="4"/>
              <w:right w:val="single" w:color="1B2A4A" w:sz="4"/>
            </w:tcBorders>
            <w:shd w:fill="FFF8DC" w:val="clear"/>
            <w:tcMar>
              <w:top w:type="dxa" w:w="80"/>
              <w:left w:type="dxa" w:w="140"/>
              <w:bottom w:type="dxa" w:w="80"/>
              <w:right w:type="dxa" w:w="140"/>
            </w:tcMar>
          </w:tcPr>
          <w:p>
            <w:r>
              <w:rPr>
                <w:rFonts w:ascii="Arial" w:cs="Arial" w:eastAsia="Arial" w:hAnsi="Arial"/>
                <w:i/>
                <w:iCs/>
                <w:sz w:val="18"/>
                <w:szCs w:val="18"/>
              </w:rPr>
              <w:t xml:space="preserve">All times must be recorded in 24-hour format (HH:MM). Both start time AND end time must be recorded for each step. No step may be signed as complete unless all required IPC tests for that step have been performed and results recorded.</w:t>
            </w:r>
          </w:p>
        </w:tc>
      </w:tr>
    </w:tbl>
    <w:p>
      <w:pPr>
        <w:spacing w:before="0" w:after="0"/>
      </w:pPr>
      <w:r>
        <w:rPr>
          <w:sz w:val="18"/>
          <w:szCs w:val="18"/>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1B2A4A" w:sz="4"/>
              <w:left w:val="single" w:color="1B2A4A" w:sz="4"/>
              <w:bottom w:val="single" w:color="1B2A4A" w:sz="4"/>
              <w:right w:val="single" w:color="1B2A4A" w:sz="4"/>
            </w:tcBorders>
            <w:shd w:fill="1B2A4A" w:val="clear"/>
            <w:tcMar>
              <w:top w:type="dxa" w:w="80"/>
              <w:left w:type="dxa" w:w="140"/>
              <w:bottom w:type="dxa" w:w="80"/>
              <w:right w:type="dxa" w:w="140"/>
            </w:tcMar>
          </w:tcPr>
          <w:p>
            <w:r>
              <w:rPr>
                <w:rFonts w:ascii="Arial" w:cs="Arial" w:eastAsia="Arial" w:hAnsi="Arial"/>
                <w:b/>
                <w:bCs/>
                <w:color w:val="FFFFFF"/>
                <w:sz w:val="18"/>
                <w:szCs w:val="18"/>
              </w:rPr>
              <w:t xml:space="preserve">MANUFACTURING STEP RECORD — STANDARD FORMAT (Replicate for each step per MBMF)</w:t>
            </w:r>
          </w:p>
        </w:tc>
      </w:tr>
    </w:tbl>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600"/>
        <w:gridCol w:w="2400"/>
        <w:gridCol w:w="1600"/>
        <w:gridCol w:w="1600"/>
        <w:gridCol w:w="1826"/>
      </w:tblGrid>
      <w:tr>
        <w:tc>
          <w:tcPr>
            <w:tcW w:type="dxa" w:w="1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Step No. (MBMF Ref.):</w:t>
            </w:r>
          </w:p>
        </w:tc>
        <w:tc>
          <w:tcPr>
            <w:tcW w:type="dxa" w:w="24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[e.g., D-01]</w:t>
            </w:r>
          </w:p>
        </w:tc>
        <w:tc>
          <w:tcPr>
            <w:tcW w:type="dxa" w:w="1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Step Title:</w:t>
            </w:r>
          </w:p>
        </w:tc>
        <w:tc>
          <w:tcPr>
            <w:tcW w:type="dxa" w:w="1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8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r>
      <w:tr>
        <w:tc>
          <w:tcPr>
            <w:tcW w:type="dxa" w:w="1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Equipment ID:</w:t>
            </w:r>
          </w:p>
        </w:tc>
        <w:tc>
          <w:tcPr>
            <w:tcW w:type="dxa" w:w="24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[Pre-printed from MBMF]</w:t>
            </w:r>
          </w:p>
        </w:tc>
        <w:tc>
          <w:tcPr>
            <w:tcW w:type="dxa" w:w="1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Equipment Status (CLEAN ✓):</w:t>
            </w:r>
          </w:p>
        </w:tc>
        <w:tc>
          <w:tcPr>
            <w:tcW w:type="dxa" w:w="1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8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r>
      <w:tr>
        <w:tc>
          <w:tcPr>
            <w:tcW w:type="dxa" w:w="1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Step Instructions:</w:t>
            </w:r>
          </w:p>
        </w:tc>
        <w:tc>
          <w:tcPr>
            <w:tcW w:type="dxa" w:w="7426"/>
            <w:gridSpan w:val="4"/>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tcPr>
          <w:p>
            <w:r>
              <w:rPr>
                <w:rFonts w:ascii="Arial" w:cs="Arial" w:eastAsia="Arial" w:hAnsi="Arial"/>
                <w:i/>
                <w:iCs/>
                <w:color w:val="5A5F6E"/>
                <w:sz w:val="18"/>
                <w:szCs w:val="18"/>
              </w:rPr>
              <w:t xml:space="preserve">[Pre-printed verbatim from current approved MBMF — operator shall not copy or paraphrase]</w:t>
            </w:r>
          </w:p>
        </w:tc>
      </w:tr>
      <w:tr>
        <w:tc>
          <w:tcPr>
            <w:tcW w:type="dxa" w:w="1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Process Parameters:</w:t>
            </w:r>
          </w:p>
        </w:tc>
        <w:tc>
          <w:tcPr>
            <w:tcW w:type="dxa" w:w="7426"/>
            <w:gridSpan w:val="4"/>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tcPr>
          <w:p>
            <w:r>
              <w:rPr>
                <w:rFonts w:ascii="Arial" w:cs="Arial" w:eastAsia="Arial" w:hAnsi="Arial"/>
                <w:sz w:val="18"/>
                <w:szCs w:val="18"/>
              </w:rPr>
              <w:t xml:space="preserve">Parameter | Specified Range | Actual Value | Within Limit? (Y/N)</w:t>
            </w:r>
          </w:p>
        </w:tc>
      </w:tr>
      <w:tr>
        <w:tc>
          <w:tcPr>
            <w:tcW w:type="dxa" w:w="1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Date:</w:t>
            </w:r>
          </w:p>
        </w:tc>
        <w:tc>
          <w:tcPr>
            <w:tcW w:type="dxa" w:w="24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Time Started:</w:t>
            </w:r>
          </w:p>
        </w:tc>
        <w:tc>
          <w:tcPr>
            <w:tcW w:type="dxa" w:w="1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8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r>
      <w:tr>
        <w:tc>
          <w:tcPr>
            <w:tcW w:type="dxa" w:w="1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Time Completed:</w:t>
            </w:r>
          </w:p>
        </w:tc>
        <w:tc>
          <w:tcPr>
            <w:tcW w:type="dxa" w:w="24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Duration (mins):</w:t>
            </w:r>
          </w:p>
        </w:tc>
        <w:tc>
          <w:tcPr>
            <w:tcW w:type="dxa" w:w="1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8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r>
      <w:tr>
        <w:tc>
          <w:tcPr>
            <w:tcW w:type="dxa" w:w="1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Operator Name + Sign:</w:t>
            </w:r>
          </w:p>
        </w:tc>
        <w:tc>
          <w:tcPr>
            <w:tcW w:type="dxa" w:w="24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Supervisor Countersign:</w:t>
            </w:r>
          </w:p>
        </w:tc>
        <w:tc>
          <w:tcPr>
            <w:tcW w:type="dxa" w:w="3426"/>
            <w:gridSpan w:val="2"/>
            <w:tcBorders>
              <w:top w:val="single" w:color="B0B8CC" w:sz="4"/>
              <w:left w:val="single" w:color="B0B8CC" w:sz="4"/>
              <w:bottom w:val="single" w:color="B0B8CC" w:sz="4"/>
              <w:right w:val="single" w:color="B0B8CC" w:sz="4"/>
            </w:tcBorders>
            <w:shd w:fill="D4EDDA" w:val="clear"/>
            <w:tcMar>
              <w:top w:type="dxa" w:w="80"/>
              <w:left w:type="dxa" w:w="140"/>
              <w:bottom w:type="dxa" w:w="80"/>
              <w:right w:type="dxa" w:w="140"/>
            </w:tcMar>
          </w:tcPr>
          <w:p>
            <w:r>
              <w:rPr>
                <w:rFonts w:ascii="Arial" w:cs="Arial" w:eastAsia="Arial" w:hAnsi="Arial"/>
                <w:i/>
                <w:iCs/>
                <w:sz w:val="17"/>
                <w:szCs w:val="17"/>
              </w:rPr>
              <w:t xml:space="preserve">[Supervisor must countersign at time of step completion — not retrospectively]</w:t>
            </w:r>
          </w:p>
        </w:tc>
      </w:tr>
      <w:tr>
        <w:tc>
          <w:tcPr>
            <w:tcW w:type="dxa" w:w="1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Observations / Remarks:</w:t>
            </w:r>
          </w:p>
        </w:tc>
        <w:tc>
          <w:tcPr>
            <w:tcW w:type="dxa" w:w="7426"/>
            <w:gridSpan w:val="4"/>
            <w:tcBorders>
              <w:top w:val="single" w:color="B0B8CC" w:sz="4"/>
              <w:left w:val="single" w:color="B0B8CC" w:sz="4"/>
              <w:bottom w:val="single" w:color="B0B8CC" w:sz="4"/>
              <w:right w:val="single" w:color="B0B8CC" w:sz="4"/>
            </w:tcBorders>
            <w:shd w:fill="FFFFFF" w:val="clear"/>
            <w:tcMar>
              <w:top w:type="dxa" w:w="100"/>
              <w:left w:type="dxa" w:w="140"/>
              <w:bottom w:type="dxa" w:w="100"/>
              <w:right w:type="dxa" w:w="140"/>
            </w:tcMar>
          </w:tcPr>
          <w:p>
            <w:r>
              <w:rPr>
                <w:rFonts w:ascii="Arial" w:cs="Arial" w:eastAsia="Arial" w:hAnsi="Arial"/>
                <w:sz w:val="18"/>
                <w:szCs w:val="18"/>
              </w:rPr>
              <w:t xml:space="preserve"> </w:t>
            </w:r>
          </w:p>
        </w:tc>
      </w:tr>
    </w:tbl>
    <w:p>
      <w:pPr>
        <w:spacing w:before="0" w:after="0"/>
      </w:pPr>
      <w:r>
        <w:rPr>
          <w:sz w:val="18"/>
          <w:szCs w:val="18"/>
        </w:rPr>
        <w:t xml:space="preserve"/>
      </w:r>
    </w:p>
    <w:p>
      <w:pPr>
        <w:pStyle w:val="Heading2"/>
        <w:spacing w:before="200" w:after="80"/>
      </w:pPr>
      <w:r>
        <w:rPr>
          <w:rFonts w:ascii="Arial" w:cs="Arial" w:eastAsia="Arial" w:hAnsi="Arial"/>
          <w:b/>
          <w:bCs/>
          <w:color w:val="2E4D8A"/>
          <w:sz w:val="22"/>
          <w:szCs w:val="22"/>
        </w:rPr>
        <w:t xml:space="preserve">11.1 In-Process Control (IPC) Record — Standard Format (BMR Section E)</w:t>
      </w:r>
    </w:p>
    <w:p>
      <w:pPr>
        <w:spacing w:before="60" w:after="60"/>
      </w:pPr>
      <w:r>
        <w:rPr>
          <w:rFonts w:ascii="Arial" w:cs="Arial" w:eastAsia="Arial" w:hAnsi="Arial"/>
          <w:sz w:val="18"/>
          <w:szCs w:val="18"/>
        </w:rPr>
        <w:t xml:space="preserve">In-Process Controls shall be performed at the frequency and on the parameters specified in the MBMF. Results must be recorded in the BMR at the time of testing:</w:t>
      </w:r>
    </w:p>
    <w:p>
      <w:pPr>
        <w:spacing w:before="0" w:after="0"/>
      </w:pPr>
      <w:r>
        <w:rPr>
          <w:sz w:val="18"/>
          <w:szCs w:val="18"/>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00"/>
        <w:gridCol w:w="1600"/>
        <w:gridCol w:w="1400"/>
        <w:gridCol w:w="1600"/>
        <w:gridCol w:w="1600"/>
        <w:gridCol w:w="1300"/>
        <w:gridCol w:w="1126"/>
      </w:tblGrid>
      <w:tr>
        <w:trPr>
          <w:tblHeader/>
        </w:trPr>
        <w:tc>
          <w:tcPr>
            <w:tcW w:type="dxa" w:w="4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w:t>
            </w:r>
          </w:p>
        </w:tc>
        <w:tc>
          <w:tcPr>
            <w:tcW w:type="dxa" w:w="16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IPC Test Name</w:t>
            </w:r>
          </w:p>
        </w:tc>
        <w:tc>
          <w:tcPr>
            <w:tcW w:type="dxa" w:w="14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Sampling Point / Stage</w:t>
            </w:r>
          </w:p>
        </w:tc>
        <w:tc>
          <w:tcPr>
            <w:tcW w:type="dxa" w:w="16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Acceptance Criterion (MBMF)</w:t>
            </w:r>
          </w:p>
        </w:tc>
        <w:tc>
          <w:tcPr>
            <w:tcW w:type="dxa" w:w="16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Actual Result</w:t>
            </w:r>
          </w:p>
        </w:tc>
        <w:tc>
          <w:tcPr>
            <w:tcW w:type="dxa" w:w="13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Pass / Fail</w:t>
            </w:r>
          </w:p>
        </w:tc>
        <w:tc>
          <w:tcPr>
            <w:tcW w:type="dxa" w:w="1126"/>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Analyst Sign + Date</w:t>
            </w:r>
          </w:p>
        </w:tc>
      </w:tr>
      <w:tr>
        <w:tc>
          <w:tcPr>
            <w:tcW w:type="dxa" w:w="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1</w:t>
            </w:r>
          </w:p>
        </w:tc>
        <w:tc>
          <w:tcPr>
            <w:tcW w:type="dxa" w:w="1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Blend Uniformity (RSD)</w:t>
            </w:r>
          </w:p>
        </w:tc>
        <w:tc>
          <w:tcPr>
            <w:tcW w:type="dxa" w:w="14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Post-blending</w:t>
            </w:r>
          </w:p>
        </w:tc>
        <w:tc>
          <w:tcPr>
            <w:tcW w:type="dxa" w:w="1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RSD ≤ 5.0%</w:t>
            </w:r>
          </w:p>
        </w:tc>
        <w:tc>
          <w:tcPr>
            <w:tcW w:type="dxa" w:w="1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3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1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r>
      <w:tr>
        <w:tc>
          <w:tcPr>
            <w:tcW w:type="dxa" w:w="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2</w:t>
            </w:r>
          </w:p>
        </w:tc>
        <w:tc>
          <w:tcPr>
            <w:tcW w:type="dxa" w:w="1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Granule LOD / Moisture</w:t>
            </w:r>
          </w:p>
        </w:tc>
        <w:tc>
          <w:tcPr>
            <w:tcW w:type="dxa" w:w="14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Post-granulation</w:t>
            </w:r>
          </w:p>
        </w:tc>
        <w:tc>
          <w:tcPr>
            <w:tcW w:type="dxa" w:w="1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[X]% ± [Y]%</w:t>
            </w:r>
          </w:p>
        </w:tc>
        <w:tc>
          <w:tcPr>
            <w:tcW w:type="dxa" w:w="1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3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1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r>
      <w:tr>
        <w:tc>
          <w:tcPr>
            <w:tcW w:type="dxa" w:w="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3</w:t>
            </w:r>
          </w:p>
        </w:tc>
        <w:tc>
          <w:tcPr>
            <w:tcW w:type="dxa" w:w="1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Tablet / Capsule Weight</w:t>
            </w:r>
          </w:p>
        </w:tc>
        <w:tc>
          <w:tcPr>
            <w:tcW w:type="dxa" w:w="14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Compression/Filling (n=20)</w:t>
            </w:r>
          </w:p>
        </w:tc>
        <w:tc>
          <w:tcPr>
            <w:tcW w:type="dxa" w:w="1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[X] mg ± [Y]%</w:t>
            </w:r>
          </w:p>
        </w:tc>
        <w:tc>
          <w:tcPr>
            <w:tcW w:type="dxa" w:w="1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3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1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r>
      <w:tr>
        <w:tc>
          <w:tcPr>
            <w:tcW w:type="dxa" w:w="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4</w:t>
            </w:r>
          </w:p>
        </w:tc>
        <w:tc>
          <w:tcPr>
            <w:tcW w:type="dxa" w:w="1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Tablet Hardness</w:t>
            </w:r>
          </w:p>
        </w:tc>
        <w:tc>
          <w:tcPr>
            <w:tcW w:type="dxa" w:w="14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Compression (n=10)</w:t>
            </w:r>
          </w:p>
        </w:tc>
        <w:tc>
          <w:tcPr>
            <w:tcW w:type="dxa" w:w="1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[X] – [Y] kP</w:t>
            </w:r>
          </w:p>
        </w:tc>
        <w:tc>
          <w:tcPr>
            <w:tcW w:type="dxa" w:w="1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3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1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r>
      <w:tr>
        <w:tc>
          <w:tcPr>
            <w:tcW w:type="dxa" w:w="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5</w:t>
            </w:r>
          </w:p>
        </w:tc>
        <w:tc>
          <w:tcPr>
            <w:tcW w:type="dxa" w:w="1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Tablet Friability</w:t>
            </w:r>
          </w:p>
        </w:tc>
        <w:tc>
          <w:tcPr>
            <w:tcW w:type="dxa" w:w="14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Compression (n=10)</w:t>
            </w:r>
          </w:p>
        </w:tc>
        <w:tc>
          <w:tcPr>
            <w:tcW w:type="dxa" w:w="1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1.0%</w:t>
            </w:r>
          </w:p>
        </w:tc>
        <w:tc>
          <w:tcPr>
            <w:tcW w:type="dxa" w:w="1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3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1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r>
      <w:tr>
        <w:tc>
          <w:tcPr>
            <w:tcW w:type="dxa" w:w="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6</w:t>
            </w:r>
          </w:p>
        </w:tc>
        <w:tc>
          <w:tcPr>
            <w:tcW w:type="dxa" w:w="1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Disintegration Time</w:t>
            </w:r>
          </w:p>
        </w:tc>
        <w:tc>
          <w:tcPr>
            <w:tcW w:type="dxa" w:w="14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Compression / Coating</w:t>
            </w:r>
          </w:p>
        </w:tc>
        <w:tc>
          <w:tcPr>
            <w:tcW w:type="dxa" w:w="1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[X] minutes</w:t>
            </w:r>
          </w:p>
        </w:tc>
        <w:tc>
          <w:tcPr>
            <w:tcW w:type="dxa" w:w="1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3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1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r>
      <w:tr>
        <w:tc>
          <w:tcPr>
            <w:tcW w:type="dxa" w:w="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7</w:t>
            </w:r>
          </w:p>
        </w:tc>
        <w:tc>
          <w:tcPr>
            <w:tcW w:type="dxa" w:w="1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Dissolution (if applicable)</w:t>
            </w:r>
          </w:p>
        </w:tc>
        <w:tc>
          <w:tcPr>
            <w:tcW w:type="dxa" w:w="14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Post-compression</w:t>
            </w:r>
          </w:p>
        </w:tc>
        <w:tc>
          <w:tcPr>
            <w:tcW w:type="dxa" w:w="1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[Refer MBMF / Method]</w:t>
            </w:r>
          </w:p>
        </w:tc>
        <w:tc>
          <w:tcPr>
            <w:tcW w:type="dxa" w:w="1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3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1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r>
      <w:tr>
        <w:tc>
          <w:tcPr>
            <w:tcW w:type="dxa" w:w="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8</w:t>
            </w:r>
          </w:p>
        </w:tc>
        <w:tc>
          <w:tcPr>
            <w:tcW w:type="dxa" w:w="1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Fill Volume / Weight (Liquids)</w:t>
            </w:r>
          </w:p>
        </w:tc>
        <w:tc>
          <w:tcPr>
            <w:tcW w:type="dxa" w:w="14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Filling line, every [X] min</w:t>
            </w:r>
          </w:p>
        </w:tc>
        <w:tc>
          <w:tcPr>
            <w:tcW w:type="dxa" w:w="1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[X] mL ± [Y]%</w:t>
            </w:r>
          </w:p>
        </w:tc>
        <w:tc>
          <w:tcPr>
            <w:tcW w:type="dxa" w:w="1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3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1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r>
      <w:tr>
        <w:tc>
          <w:tcPr>
            <w:tcW w:type="dxa" w:w="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9</w:t>
            </w:r>
          </w:p>
        </w:tc>
        <w:tc>
          <w:tcPr>
            <w:tcW w:type="dxa" w:w="1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pH (Liquids)</w:t>
            </w:r>
          </w:p>
        </w:tc>
        <w:tc>
          <w:tcPr>
            <w:tcW w:type="dxa" w:w="14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Post-compounding</w:t>
            </w:r>
          </w:p>
        </w:tc>
        <w:tc>
          <w:tcPr>
            <w:tcW w:type="dxa" w:w="1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[X.X] – [Y.Y]</w:t>
            </w:r>
          </w:p>
        </w:tc>
        <w:tc>
          <w:tcPr>
            <w:tcW w:type="dxa" w:w="1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3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1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r>
      <w:tr>
        <w:tc>
          <w:tcPr>
            <w:tcW w:type="dxa" w:w="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10</w:t>
            </w:r>
          </w:p>
        </w:tc>
        <w:tc>
          <w:tcPr>
            <w:tcW w:type="dxa" w:w="1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Appearance / Visual Check</w:t>
            </w:r>
          </w:p>
        </w:tc>
        <w:tc>
          <w:tcPr>
            <w:tcW w:type="dxa" w:w="14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Each step as specified</w:t>
            </w:r>
          </w:p>
        </w:tc>
        <w:tc>
          <w:tcPr>
            <w:tcW w:type="dxa" w:w="1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NMT [X] defects / unit</w:t>
            </w:r>
          </w:p>
        </w:tc>
        <w:tc>
          <w:tcPr>
            <w:tcW w:type="dxa" w:w="16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3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1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r>
    </w:tbl>
    <w:p>
      <w:pPr>
        <w:spacing w:before="0" w:after="0"/>
      </w:pPr>
      <w:r>
        <w:rPr>
          <w:sz w:val="18"/>
          <w:szCs w:val="18"/>
        </w:rPr>
        <w:t xml:space="preserve"/>
      </w:r>
    </w:p>
    <w:p>
      <w:pPr>
        <w:spacing w:before="60" w:after="60"/>
      </w:pPr>
      <w:r>
        <w:rPr>
          <w:rFonts w:ascii="Arial" w:cs="Arial" w:eastAsia="Arial" w:hAnsi="Arial"/>
          <w:b/>
          <w:bCs/>
          <w:sz w:val="18"/>
          <w:szCs w:val="18"/>
        </w:rPr>
        <w:t xml:space="preserve">IPC Summary — Head QC Review:</w:t>
      </w:r>
    </w:p>
    <w:p>
      <w:pPr>
        <w:spacing w:before="60" w:after="60"/>
      </w:pPr>
      <w:r>
        <w:rPr>
          <w:rFonts w:ascii="Arial" w:cs="Arial" w:eastAsia="Arial" w:hAnsi="Arial"/>
          <w:sz w:val="18"/>
          <w:szCs w:val="18"/>
        </w:rPr>
        <w:t xml:space="preserve">All IPC results reviewed and within acceptance criteria:  ☐ Yes  ☐ No (see Deviation Section G)</w:t>
      </w:r>
    </w:p>
    <w:p>
      <w:pPr>
        <w:spacing w:before="60" w:after="60"/>
      </w:pPr>
      <w:r>
        <w:rPr>
          <w:rFonts w:ascii="Arial" w:cs="Arial" w:eastAsia="Arial" w:hAnsi="Arial"/>
          <w:sz w:val="18"/>
          <w:szCs w:val="18"/>
        </w:rPr>
        <w:t xml:space="preserve">Head QC Signature: ___________________________   Date: _______________</w:t>
      </w:r>
    </w:p>
    <w:p>
      <w:pPr>
        <w:spacing w:before="0" w:after="0"/>
      </w:pPr>
      <w:r>
        <w:rPr>
          <w:sz w:val="18"/>
          <w:szCs w:val="18"/>
        </w:rPr>
        <w:t xml:space="preserve"/>
      </w:r>
    </w:p>
    <w:p>
      <w:pPr>
        <w:pStyle w:val="Heading1"/>
        <w:pBdr>
          <w:bottom w:val="single" w:color="3A72C9" w:sz="6" w:space="4"/>
        </w:pBdr>
        <w:spacing w:before="300" w:after="120"/>
      </w:pPr>
      <w:r>
        <w:rPr>
          <w:rFonts w:ascii="Arial" w:cs="Arial" w:eastAsia="Arial" w:hAnsi="Arial"/>
          <w:b/>
          <w:bCs/>
          <w:color w:val="1B2A4A"/>
          <w:sz w:val="28"/>
          <w:szCs w:val="28"/>
        </w:rPr>
        <w:t xml:space="preserve">12. ENVIRONMENTAL MONITORING RECORD (BMR SECTION F)</w:t>
      </w:r>
    </w:p>
    <w:p>
      <w:pPr>
        <w:spacing w:before="60" w:after="60"/>
      </w:pPr>
      <w:r>
        <w:rPr>
          <w:rFonts w:ascii="Arial" w:cs="Arial" w:eastAsia="Arial" w:hAnsi="Arial"/>
          <w:sz w:val="18"/>
          <w:szCs w:val="18"/>
        </w:rPr>
        <w:t xml:space="preserve">Environmental conditions shall be recorded at the start, at defined intermediate intervals, and at the end of manufacturing for all operations where temperature, humidity, or pressure is critical to product quality. Readings must be taken from calibrated instruments or the BMS; instrument or BMS reference IDs must be recorded.</w:t>
      </w:r>
    </w:p>
    <w:p>
      <w:pPr>
        <w:spacing w:before="0" w:after="0"/>
      </w:pPr>
      <w:r>
        <w:rPr>
          <w:sz w:val="18"/>
          <w:szCs w:val="18"/>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100"/>
        <w:gridCol w:w="700"/>
        <w:gridCol w:w="1000"/>
        <w:gridCol w:w="1000"/>
        <w:gridCol w:w="1000"/>
        <w:gridCol w:w="1000"/>
        <w:gridCol w:w="1000"/>
        <w:gridCol w:w="2226"/>
      </w:tblGrid>
      <w:tr>
        <w:trPr>
          <w:tblHeader/>
        </w:trPr>
        <w:tc>
          <w:tcPr>
            <w:tcW w:type="dxa" w:w="11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Manufacturing Stage</w:t>
            </w:r>
          </w:p>
        </w:tc>
        <w:tc>
          <w:tcPr>
            <w:tcW w:type="dxa" w:w="7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Date</w:t>
            </w:r>
          </w:p>
        </w:tc>
        <w:tc>
          <w:tcPr>
            <w:tcW w:type="dxa" w:w="10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Time</w:t>
            </w:r>
          </w:p>
        </w:tc>
        <w:tc>
          <w:tcPr>
            <w:tcW w:type="dxa" w:w="10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Temp. (°C) [Spec: __ – __°C]</w:t>
            </w:r>
          </w:p>
        </w:tc>
        <w:tc>
          <w:tcPr>
            <w:tcW w:type="dxa" w:w="10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RH (%) [Spec: __ – __%]</w:t>
            </w:r>
          </w:p>
        </w:tc>
        <w:tc>
          <w:tcPr>
            <w:tcW w:type="dxa" w:w="10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Diff. Pressure (Pa) [Spec: ≥ __Pa]</w:t>
            </w:r>
          </w:p>
        </w:tc>
        <w:tc>
          <w:tcPr>
            <w:tcW w:type="dxa" w:w="10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Pass / Fail</w:t>
            </w:r>
          </w:p>
        </w:tc>
        <w:tc>
          <w:tcPr>
            <w:tcW w:type="dxa" w:w="2226"/>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Operator Sign + Instrument ID</w:t>
            </w:r>
          </w:p>
        </w:tc>
      </w:tr>
      <w:tr>
        <w:tc>
          <w:tcPr>
            <w:tcW w:type="dxa" w:w="11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Line Clearance / Start of Batch</w:t>
            </w:r>
          </w:p>
        </w:tc>
        <w:tc>
          <w:tcPr>
            <w:tcW w:type="dxa" w:w="7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0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0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0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0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0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2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r>
      <w:tr>
        <w:tc>
          <w:tcPr>
            <w:tcW w:type="dxa" w:w="11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Post-Dispensing</w:t>
            </w:r>
          </w:p>
        </w:tc>
        <w:tc>
          <w:tcPr>
            <w:tcW w:type="dxa" w:w="7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0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0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0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0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0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2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r>
      <w:tr>
        <w:tc>
          <w:tcPr>
            <w:tcW w:type="dxa" w:w="11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During Granulation / Mixing</w:t>
            </w:r>
          </w:p>
        </w:tc>
        <w:tc>
          <w:tcPr>
            <w:tcW w:type="dxa" w:w="7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0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0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0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0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0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2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r>
      <w:tr>
        <w:tc>
          <w:tcPr>
            <w:tcW w:type="dxa" w:w="11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Post-Granulation</w:t>
            </w:r>
          </w:p>
        </w:tc>
        <w:tc>
          <w:tcPr>
            <w:tcW w:type="dxa" w:w="7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0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0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0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0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0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2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r>
      <w:tr>
        <w:tc>
          <w:tcPr>
            <w:tcW w:type="dxa" w:w="11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During Compression / Filling</w:t>
            </w:r>
          </w:p>
        </w:tc>
        <w:tc>
          <w:tcPr>
            <w:tcW w:type="dxa" w:w="7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0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0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0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0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0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2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r>
      <w:tr>
        <w:tc>
          <w:tcPr>
            <w:tcW w:type="dxa" w:w="11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Post-Compression / Filling</w:t>
            </w:r>
          </w:p>
        </w:tc>
        <w:tc>
          <w:tcPr>
            <w:tcW w:type="dxa" w:w="7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0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0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0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0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0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2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r>
      <w:tr>
        <w:tc>
          <w:tcPr>
            <w:tcW w:type="dxa" w:w="11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End of Batch</w:t>
            </w:r>
          </w:p>
        </w:tc>
        <w:tc>
          <w:tcPr>
            <w:tcW w:type="dxa" w:w="7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0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0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0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0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0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2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r>
    </w:tbl>
    <w:p>
      <w:pPr>
        <w:spacing w:before="0" w:after="0"/>
      </w:pPr>
      <w:r>
        <w:rPr>
          <w:sz w:val="18"/>
          <w:szCs w:val="18"/>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0"/>
        <w:gridCol w:w="8126"/>
      </w:tblGrid>
      <w:tr>
        <w:tc>
          <w:tcPr>
            <w:tcW w:type="dxa" w:w="900"/>
            <w:tcBorders>
              <w:top w:val="single" w:color="1B2A4A" w:sz="4"/>
              <w:left w:val="single" w:color="1B2A4A" w:sz="4"/>
              <w:bottom w:val="single" w:color="1B2A4A" w:sz="4"/>
              <w:right w:val="single" w:color="1B2A4A" w:sz="4"/>
            </w:tcBorders>
            <w:shd w:fill="F8D7DA" w:val="clear"/>
            <w:tcMar>
              <w:top w:type="dxa" w:w="80"/>
              <w:left w:type="dxa" w:w="100"/>
              <w:bottom w:type="dxa" w:w="80"/>
              <w:right w:type="dxa" w:w="100"/>
            </w:tcMar>
            <w:vAlign w:val="center"/>
          </w:tcPr>
          <w:p>
            <w:pPr>
              <w:jc w:val="center"/>
            </w:pPr>
            <w:r>
              <w:rPr>
                <w:rFonts w:ascii="Arial" w:cs="Arial" w:eastAsia="Arial" w:hAnsi="Arial"/>
                <w:b/>
                <w:bCs/>
                <w:color w:val="1B2A4A"/>
                <w:sz w:val="18"/>
                <w:szCs w:val="18"/>
              </w:rPr>
              <w:t xml:space="preserve">OOL ACTION</w:t>
            </w:r>
          </w:p>
        </w:tc>
        <w:tc>
          <w:tcPr>
            <w:tcW w:type="dxa" w:w="8126"/>
            <w:tcBorders>
              <w:top w:val="single" w:color="1B2A4A" w:sz="4"/>
              <w:left w:val="single" w:color="1B2A4A" w:sz="4"/>
              <w:bottom w:val="single" w:color="1B2A4A" w:sz="4"/>
              <w:right w:val="single" w:color="1B2A4A" w:sz="4"/>
            </w:tcBorders>
            <w:shd w:fill="F8D7DA" w:val="clear"/>
            <w:tcMar>
              <w:top w:type="dxa" w:w="80"/>
              <w:left w:type="dxa" w:w="140"/>
              <w:bottom w:type="dxa" w:w="80"/>
              <w:right w:type="dxa" w:w="140"/>
            </w:tcMar>
          </w:tcPr>
          <w:p>
            <w:r>
              <w:rPr>
                <w:rFonts w:ascii="Arial" w:cs="Arial" w:eastAsia="Arial" w:hAnsi="Arial"/>
                <w:i/>
                <w:iCs/>
                <w:sz w:val="18"/>
                <w:szCs w:val="18"/>
              </w:rPr>
              <w:t xml:space="preserve">If any environmental parameter is outside specification during a critical manufacturing step, stop the operation, record the out-of-specification value, and raise a deviation immediately. Do not continue without Production Supervisor and QA authorisation.</w:t>
            </w:r>
          </w:p>
        </w:tc>
      </w:tr>
    </w:tbl>
    <w:p>
      <w:pPr>
        <w:spacing w:before="0" w:after="0"/>
      </w:pPr>
      <w:r>
        <w:rPr>
          <w:sz w:val="18"/>
          <w:szCs w:val="18"/>
        </w:rPr>
        <w:t xml:space="preserve"/>
      </w:r>
    </w:p>
    <w:p>
      <w:pPr>
        <w:pStyle w:val="Heading1"/>
        <w:pBdr>
          <w:bottom w:val="single" w:color="3A72C9" w:sz="6" w:space="4"/>
        </w:pBdr>
        <w:spacing w:before="300" w:after="120"/>
      </w:pPr>
      <w:r>
        <w:rPr>
          <w:rFonts w:ascii="Arial" w:cs="Arial" w:eastAsia="Arial" w:hAnsi="Arial"/>
          <w:b/>
          <w:bCs/>
          <w:color w:val="1B2A4A"/>
          <w:sz w:val="28"/>
          <w:szCs w:val="28"/>
        </w:rPr>
        <w:t xml:space="preserve">13. YIELD RECONCILIATION (BMR SECTION F)</w:t>
      </w:r>
    </w:p>
    <w:p>
      <w:pPr>
        <w:spacing w:before="60" w:after="60"/>
      </w:pPr>
      <w:r>
        <w:rPr>
          <w:rFonts w:ascii="Arial" w:cs="Arial" w:eastAsia="Arial" w:hAnsi="Arial"/>
          <w:sz w:val="18"/>
          <w:szCs w:val="18"/>
        </w:rPr>
        <w:t xml:space="preserve">Yield reconciliation must be performed at each significant stage and at the end of the batch. The reconciliation demonstrates accountability for all material entering the process. Discrepancies outside defined limits must be investigated as a deviation.</w:t>
      </w:r>
    </w:p>
    <w:p>
      <w:pPr>
        <w:spacing w:before="0" w:after="0"/>
      </w:pPr>
      <w:r>
        <w:rPr>
          <w:sz w:val="18"/>
          <w:szCs w:val="18"/>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00"/>
        <w:gridCol w:w="1700"/>
        <w:gridCol w:w="1700"/>
        <w:gridCol w:w="1700"/>
        <w:gridCol w:w="1726"/>
      </w:tblGrid>
      <w:tr>
        <w:trPr>
          <w:tblHeader/>
        </w:trPr>
        <w:tc>
          <w:tcPr>
            <w:tcW w:type="dxa" w:w="22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Stage</w:t>
            </w:r>
          </w:p>
        </w:tc>
        <w:tc>
          <w:tcPr>
            <w:tcW w:type="dxa" w:w="17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Theoretical Yield</w:t>
            </w:r>
          </w:p>
        </w:tc>
        <w:tc>
          <w:tcPr>
            <w:tcW w:type="dxa" w:w="17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Actual Yield</w:t>
            </w:r>
          </w:p>
        </w:tc>
        <w:tc>
          <w:tcPr>
            <w:tcW w:type="dxa" w:w="17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 Yield</w:t>
            </w:r>
          </w:p>
        </w:tc>
        <w:tc>
          <w:tcPr>
            <w:tcW w:type="dxa" w:w="1726"/>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Acceptable Limit (MBMF)</w:t>
            </w:r>
          </w:p>
        </w:tc>
      </w:tr>
      <w:tr>
        <w:tc>
          <w:tcPr>
            <w:tcW w:type="dxa" w:w="22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Post-Blending / Post-Granulation</w:t>
            </w:r>
          </w:p>
        </w:tc>
        <w:tc>
          <w:tcPr>
            <w:tcW w:type="dxa" w:w="17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_____ kg / L</w:t>
            </w:r>
          </w:p>
        </w:tc>
        <w:tc>
          <w:tcPr>
            <w:tcW w:type="dxa" w:w="17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_____ kg / L</w:t>
            </w:r>
          </w:p>
        </w:tc>
        <w:tc>
          <w:tcPr>
            <w:tcW w:type="dxa" w:w="17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_____%</w:t>
            </w:r>
          </w:p>
        </w:tc>
        <w:tc>
          <w:tcPr>
            <w:tcW w:type="dxa" w:w="17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[MBMF limit, e.g., 97–102%]</w:t>
            </w:r>
          </w:p>
        </w:tc>
      </w:tr>
      <w:tr>
        <w:tc>
          <w:tcPr>
            <w:tcW w:type="dxa" w:w="22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Post-Compression / Post-Filling (Bulk Units)</w:t>
            </w:r>
          </w:p>
        </w:tc>
        <w:tc>
          <w:tcPr>
            <w:tcW w:type="dxa" w:w="17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_____ units</w:t>
            </w:r>
          </w:p>
        </w:tc>
        <w:tc>
          <w:tcPr>
            <w:tcW w:type="dxa" w:w="17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_____ units</w:t>
            </w:r>
          </w:p>
        </w:tc>
        <w:tc>
          <w:tcPr>
            <w:tcW w:type="dxa" w:w="17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_____%</w:t>
            </w:r>
          </w:p>
        </w:tc>
        <w:tc>
          <w:tcPr>
            <w:tcW w:type="dxa" w:w="17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[MBMF limit]</w:t>
            </w:r>
          </w:p>
        </w:tc>
      </w:tr>
      <w:tr>
        <w:tc>
          <w:tcPr>
            <w:tcW w:type="dxa" w:w="22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Post-Coating (if applicable)</w:t>
            </w:r>
          </w:p>
        </w:tc>
        <w:tc>
          <w:tcPr>
            <w:tcW w:type="dxa" w:w="17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_____ kg</w:t>
            </w:r>
          </w:p>
        </w:tc>
        <w:tc>
          <w:tcPr>
            <w:tcW w:type="dxa" w:w="17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_____ kg</w:t>
            </w:r>
          </w:p>
        </w:tc>
        <w:tc>
          <w:tcPr>
            <w:tcW w:type="dxa" w:w="17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_____%</w:t>
            </w:r>
          </w:p>
        </w:tc>
        <w:tc>
          <w:tcPr>
            <w:tcW w:type="dxa" w:w="17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[MBMF limit]</w:t>
            </w:r>
          </w:p>
        </w:tc>
      </w:tr>
      <w:tr>
        <w:tc>
          <w:tcPr>
            <w:tcW w:type="dxa" w:w="22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Final Filled / Finished Product (After Sampling)</w:t>
            </w:r>
          </w:p>
        </w:tc>
        <w:tc>
          <w:tcPr>
            <w:tcW w:type="dxa" w:w="17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_____ units</w:t>
            </w:r>
          </w:p>
        </w:tc>
        <w:tc>
          <w:tcPr>
            <w:tcW w:type="dxa" w:w="17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_____ units</w:t>
            </w:r>
          </w:p>
        </w:tc>
        <w:tc>
          <w:tcPr>
            <w:tcW w:type="dxa" w:w="17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_____%</w:t>
            </w:r>
          </w:p>
        </w:tc>
        <w:tc>
          <w:tcPr>
            <w:tcW w:type="dxa" w:w="17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[MBMF limit]</w:t>
            </w:r>
          </w:p>
        </w:tc>
      </w:tr>
      <w:tr>
        <w:tc>
          <w:tcPr>
            <w:tcW w:type="dxa" w:w="22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Reconciliation of Rejected / Waste / Sample</w:t>
            </w:r>
          </w:p>
        </w:tc>
        <w:tc>
          <w:tcPr>
            <w:tcW w:type="dxa" w:w="17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w:t>
            </w:r>
          </w:p>
        </w:tc>
        <w:tc>
          <w:tcPr>
            <w:tcW w:type="dxa" w:w="17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_____ units / kg</w:t>
            </w:r>
          </w:p>
        </w:tc>
        <w:tc>
          <w:tcPr>
            <w:tcW w:type="dxa" w:w="17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w:t>
            </w:r>
          </w:p>
        </w:tc>
        <w:tc>
          <w:tcPr>
            <w:tcW w:type="dxa" w:w="17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Document all losses</w:t>
            </w:r>
          </w:p>
        </w:tc>
      </w:tr>
      <w:tr>
        <w:tc>
          <w:tcPr>
            <w:tcW w:type="dxa" w:w="9026"/>
            <w:gridSpan w:val="5"/>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tcPr>
          <w:p>
            <w:r>
              <w:rPr>
                <w:rFonts w:ascii="Arial" w:cs="Arial" w:eastAsia="Arial" w:hAnsi="Arial"/>
                <w:b/>
                <w:bCs/>
                <w:color w:val="1B2A4A"/>
                <w:sz w:val="18"/>
                <w:szCs w:val="18"/>
              </w:rPr>
              <w:t xml:space="preserve">Reconciliation Statement: Total Input (kg/units) = Total Output + Waste + Samples + Rejects</w:t>
            </w:r>
          </w:p>
          <w:p>
            <w:r>
              <w:rPr>
                <w:rFonts w:ascii="Arial" w:cs="Arial" w:eastAsia="Arial" w:hAnsi="Arial"/>
                <w:i/>
                <w:iCs/>
                <w:sz w:val="18"/>
                <w:szCs w:val="18"/>
              </w:rPr>
              <w:t xml:space="preserve">Any unexplained discrepancy &gt;  [X]% must be investigated and a Deviation raised before batch disposition.</w:t>
            </w:r>
          </w:p>
        </w:tc>
      </w:tr>
    </w:tbl>
    <w:p>
      <w:pPr>
        <w:spacing w:before="0" w:after="0"/>
      </w:pPr>
      <w:r>
        <w:rPr>
          <w:sz w:val="18"/>
          <w:szCs w:val="18"/>
        </w:rPr>
        <w:t xml:space="preserve"/>
      </w:r>
    </w:p>
    <w:p>
      <w:pPr>
        <w:spacing w:before="60" w:after="60"/>
      </w:pPr>
      <w:r>
        <w:rPr>
          <w:rFonts w:ascii="Arial" w:cs="Arial" w:eastAsia="Arial" w:hAnsi="Arial"/>
          <w:sz w:val="18"/>
          <w:szCs w:val="18"/>
        </w:rPr>
        <w:t xml:space="preserve">Yield within acceptable limits:  ☐ Yes  ☐ No — Deviation Reference: _______________</w:t>
      </w:r>
    </w:p>
    <w:p>
      <w:pPr>
        <w:spacing w:before="60" w:after="60"/>
      </w:pPr>
      <w:r>
        <w:rPr>
          <w:rFonts w:ascii="Arial" w:cs="Arial" w:eastAsia="Arial" w:hAnsi="Arial"/>
          <w:sz w:val="18"/>
          <w:szCs w:val="18"/>
        </w:rPr>
        <w:t xml:space="preserve">Reconciliation reviewed by Production Supervisor: _________________________ Date: __________</w:t>
      </w:r>
    </w:p>
    <w:p>
      <w:pPr>
        <w:spacing w:before="60" w:after="60"/>
      </w:pPr>
      <w:r>
        <w:rPr>
          <w:rFonts w:ascii="Arial" w:cs="Arial" w:eastAsia="Arial" w:hAnsi="Arial"/>
          <w:sz w:val="18"/>
          <w:szCs w:val="18"/>
        </w:rPr>
        <w:t xml:space="preserve">Reconciliation accepted by QA: _________________________ Date: __________</w:t>
      </w:r>
    </w:p>
    <w:p>
      <w:pPr>
        <w:spacing w:before="0" w:after="0"/>
      </w:pPr>
      <w:r>
        <w:rPr>
          <w:sz w:val="18"/>
          <w:szCs w:val="18"/>
        </w:rPr>
        <w:t xml:space="preserve"/>
      </w:r>
    </w:p>
    <w:p>
      <w:pPr>
        <w:pStyle w:val="Heading1"/>
        <w:pBdr>
          <w:bottom w:val="single" w:color="3A72C9" w:sz="6" w:space="4"/>
        </w:pBdr>
        <w:spacing w:before="300" w:after="120"/>
      </w:pPr>
      <w:r>
        <w:rPr>
          <w:rFonts w:ascii="Arial" w:cs="Arial" w:eastAsia="Arial" w:hAnsi="Arial"/>
          <w:b/>
          <w:bCs/>
          <w:color w:val="1B2A4A"/>
          <w:sz w:val="28"/>
          <w:szCs w:val="28"/>
        </w:rPr>
        <w:t xml:space="preserve">14. DEVIATIONS &amp; UNUSUAL OBSERVATIONS (BMR SECTION G)</w:t>
      </w:r>
    </w:p>
    <w:p>
      <w:pPr>
        <w:spacing w:before="60" w:after="60"/>
      </w:pPr>
      <w:r>
        <w:rPr>
          <w:rFonts w:ascii="Arial" w:cs="Arial" w:eastAsia="Arial" w:hAnsi="Arial"/>
          <w:sz w:val="18"/>
          <w:szCs w:val="18"/>
        </w:rPr>
        <w:t xml:space="preserve">Any departure from the approved BMR instructions, process parameters, IPC acceptance criteria, environmental limits, or MBMF specifications must be recorded in the BMR Deviation Section and on a formal Deviation Report [DEV-FORM-001]. The deviation must be assessed for impact on batch quality before the batch can proceed or be released.</w:t>
      </w:r>
    </w:p>
    <w:p>
      <w:pPr>
        <w:spacing w:before="0" w:after="0"/>
      </w:pPr>
      <w:r>
        <w:rPr>
          <w:sz w:val="18"/>
          <w:szCs w:val="18"/>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0"/>
        <w:gridCol w:w="8126"/>
      </w:tblGrid>
      <w:tr>
        <w:tc>
          <w:tcPr>
            <w:tcW w:type="dxa" w:w="900"/>
            <w:tcBorders>
              <w:top w:val="single" w:color="1B2A4A" w:sz="4"/>
              <w:left w:val="single" w:color="1B2A4A" w:sz="4"/>
              <w:bottom w:val="single" w:color="1B2A4A" w:sz="4"/>
              <w:right w:val="single" w:color="1B2A4A" w:sz="4"/>
            </w:tcBorders>
            <w:shd w:fill="F8D7DA" w:val="clear"/>
            <w:tcMar>
              <w:top w:type="dxa" w:w="80"/>
              <w:left w:type="dxa" w:w="100"/>
              <w:bottom w:type="dxa" w:w="80"/>
              <w:right w:type="dxa" w:w="100"/>
            </w:tcMar>
            <w:vAlign w:val="center"/>
          </w:tcPr>
          <w:p>
            <w:pPr>
              <w:jc w:val="center"/>
            </w:pPr>
            <w:r>
              <w:rPr>
                <w:rFonts w:ascii="Arial" w:cs="Arial" w:eastAsia="Arial" w:hAnsi="Arial"/>
                <w:b/>
                <w:bCs/>
                <w:color w:val="1B2A4A"/>
                <w:sz w:val="18"/>
                <w:szCs w:val="18"/>
              </w:rPr>
              <w:t xml:space="preserve">SCHEDULE M CL. 5.2</w:t>
            </w:r>
          </w:p>
        </w:tc>
        <w:tc>
          <w:tcPr>
            <w:tcW w:type="dxa" w:w="8126"/>
            <w:tcBorders>
              <w:top w:val="single" w:color="1B2A4A" w:sz="4"/>
              <w:left w:val="single" w:color="1B2A4A" w:sz="4"/>
              <w:bottom w:val="single" w:color="1B2A4A" w:sz="4"/>
              <w:right w:val="single" w:color="1B2A4A" w:sz="4"/>
            </w:tcBorders>
            <w:shd w:fill="F8D7DA" w:val="clear"/>
            <w:tcMar>
              <w:top w:type="dxa" w:w="80"/>
              <w:left w:type="dxa" w:w="140"/>
              <w:bottom w:type="dxa" w:w="80"/>
              <w:right w:type="dxa" w:w="140"/>
            </w:tcMar>
          </w:tcPr>
          <w:p>
            <w:r>
              <w:rPr>
                <w:rFonts w:ascii="Arial" w:cs="Arial" w:eastAsia="Arial" w:hAnsi="Arial"/>
                <w:i/>
                <w:iCs/>
                <w:sz w:val="18"/>
                <w:szCs w:val="18"/>
              </w:rPr>
              <w:t xml:space="preserve">Deviations must be raised at the time they occur — NOT after batch completion. Retrospective deviation reports for events that could have impacted product quality are a serious GMP violation under Schedule M Clause 5.2 and data integrity requirements.</w:t>
            </w:r>
          </w:p>
        </w:tc>
      </w:tr>
    </w:tbl>
    <w:p>
      <w:pPr>
        <w:spacing w:before="0" w:after="0"/>
      </w:pPr>
      <w:r>
        <w:rPr>
          <w:sz w:val="18"/>
          <w:szCs w:val="18"/>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700"/>
        <w:gridCol w:w="1300"/>
        <w:gridCol w:w="2200"/>
        <w:gridCol w:w="1200"/>
        <w:gridCol w:w="1300"/>
        <w:gridCol w:w="1126"/>
        <w:gridCol w:w="1200"/>
      </w:tblGrid>
      <w:tr>
        <w:trPr>
          <w:tblHeader/>
        </w:trPr>
        <w:tc>
          <w:tcPr>
            <w:tcW w:type="dxa" w:w="7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Ref. No.</w:t>
            </w:r>
          </w:p>
        </w:tc>
        <w:tc>
          <w:tcPr>
            <w:tcW w:type="dxa" w:w="13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Date &amp; Time</w:t>
            </w:r>
          </w:p>
        </w:tc>
        <w:tc>
          <w:tcPr>
            <w:tcW w:type="dxa" w:w="22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Description of Deviation / Observation</w:t>
            </w:r>
          </w:p>
        </w:tc>
        <w:tc>
          <w:tcPr>
            <w:tcW w:type="dxa" w:w="12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Step / Section</w:t>
            </w:r>
          </w:p>
        </w:tc>
        <w:tc>
          <w:tcPr>
            <w:tcW w:type="dxa" w:w="13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Deviation Form No.</w:t>
            </w:r>
          </w:p>
        </w:tc>
        <w:tc>
          <w:tcPr>
            <w:tcW w:type="dxa" w:w="1126"/>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Assessed By (Sign)</w:t>
            </w:r>
          </w:p>
        </w:tc>
        <w:tc>
          <w:tcPr>
            <w:tcW w:type="dxa" w:w="12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QA Countersign</w:t>
            </w:r>
          </w:p>
        </w:tc>
      </w:tr>
      <w:tr>
        <w:tc>
          <w:tcPr>
            <w:tcW w:type="dxa" w:w="7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DEV-1</w:t>
            </w:r>
          </w:p>
        </w:tc>
        <w:tc>
          <w:tcPr>
            <w:tcW w:type="dxa" w:w="13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2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3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1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r>
      <w:tr>
        <w:tc>
          <w:tcPr>
            <w:tcW w:type="dxa" w:w="7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DEV-2</w:t>
            </w:r>
          </w:p>
        </w:tc>
        <w:tc>
          <w:tcPr>
            <w:tcW w:type="dxa" w:w="13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2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3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1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r>
      <w:tr>
        <w:tc>
          <w:tcPr>
            <w:tcW w:type="dxa" w:w="7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DEV-3</w:t>
            </w:r>
          </w:p>
        </w:tc>
        <w:tc>
          <w:tcPr>
            <w:tcW w:type="dxa" w:w="13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2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3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1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c>
          <w:tcPr>
            <w:tcW w:type="dxa" w:w="1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r>
      <w:tr>
        <w:tc>
          <w:tcPr>
            <w:tcW w:type="dxa" w:w="9026"/>
            <w:gridSpan w:val="7"/>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tcPr>
          <w:p>
            <w:r>
              <w:rPr>
                <w:rFonts w:ascii="Arial" w:cs="Arial" w:eastAsia="Arial" w:hAnsi="Arial"/>
                <w:sz w:val="18"/>
                <w:szCs w:val="18"/>
              </w:rPr>
              <w:t xml:space="preserve">No deviations recorded during this batch:  ☐  Production Supervisor: ____________________  QA: ____________________  Date: __________</w:t>
            </w:r>
          </w:p>
        </w:tc>
      </w:tr>
    </w:tbl>
    <w:p>
      <w:pPr>
        <w:spacing w:before="0" w:after="0"/>
      </w:pPr>
      <w:r>
        <w:rPr>
          <w:sz w:val="18"/>
          <w:szCs w:val="18"/>
        </w:rPr>
        <w:t xml:space="preserve"/>
      </w:r>
    </w:p>
    <w:p>
      <w:pPr>
        <w:pStyle w:val="Heading1"/>
        <w:pBdr>
          <w:bottom w:val="single" w:color="3A72C9" w:sz="6" w:space="4"/>
        </w:pBdr>
        <w:spacing w:before="300" w:after="120"/>
      </w:pPr>
      <w:r>
        <w:rPr>
          <w:rFonts w:ascii="Arial" w:cs="Arial" w:eastAsia="Arial" w:hAnsi="Arial"/>
          <w:b/>
          <w:bCs/>
          <w:color w:val="1B2A4A"/>
          <w:sz w:val="28"/>
          <w:szCs w:val="28"/>
        </w:rPr>
        <w:t xml:space="preserve">15. BMR COMPLETION, QA REVIEW &amp; BATCH DISPOSITION (BMR SECTION H)</w:t>
      </w:r>
    </w:p>
    <w:p>
      <w:pPr>
        <w:pStyle w:val="Heading2"/>
        <w:spacing w:before="200" w:after="80"/>
      </w:pPr>
      <w:r>
        <w:rPr>
          <w:rFonts w:ascii="Arial" w:cs="Arial" w:eastAsia="Arial" w:hAnsi="Arial"/>
          <w:b/>
          <w:bCs/>
          <w:color w:val="2E4D8A"/>
          <w:sz w:val="22"/>
          <w:szCs w:val="22"/>
        </w:rPr>
        <w:t xml:space="preserve">15.1 Production Completion Check</w:t>
      </w:r>
    </w:p>
    <w:p>
      <w:pPr>
        <w:spacing w:before="60" w:after="60"/>
      </w:pPr>
      <w:r>
        <w:rPr>
          <w:rFonts w:ascii="Arial" w:cs="Arial" w:eastAsia="Arial" w:hAnsi="Arial"/>
          <w:sz w:val="18"/>
          <w:szCs w:val="18"/>
        </w:rPr>
        <w:t xml:space="preserve">On completion of all manufacturing steps, the Production Supervisor shall verify the completed BMR against the following checklist before submitting to QA for review:</w:t>
      </w:r>
    </w:p>
    <w:p>
      <w:pPr>
        <w:spacing w:before="0" w:after="0"/>
      </w:pPr>
      <w:r>
        <w:rPr>
          <w:sz w:val="18"/>
          <w:szCs w:val="18"/>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500"/>
        <w:gridCol w:w="7026"/>
        <w:gridCol w:w="900"/>
        <w:gridCol w:w="600"/>
      </w:tblGrid>
      <w:tr>
        <w:trPr>
          <w:tblHeader/>
        </w:trPr>
        <w:tc>
          <w:tcPr>
            <w:tcW w:type="dxa" w:w="5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w:t>
            </w:r>
          </w:p>
        </w:tc>
        <w:tc>
          <w:tcPr>
            <w:tcW w:type="dxa" w:w="7026"/>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Production Completion Check</w:t>
            </w:r>
          </w:p>
        </w:tc>
        <w:tc>
          <w:tcPr>
            <w:tcW w:type="dxa" w:w="9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Verified By</w:t>
            </w:r>
          </w:p>
        </w:tc>
        <w:tc>
          <w:tcPr>
            <w:tcW w:type="dxa" w:w="6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Status</w:t>
            </w:r>
          </w:p>
        </w:tc>
      </w:tr>
      <w:tr>
        <w:tc>
          <w:tcPr>
            <w:tcW w:type="dxa" w:w="5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1</w:t>
            </w:r>
          </w:p>
        </w:tc>
        <w:tc>
          <w:tcPr>
            <w:tcW w:type="dxa" w:w="70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All BMR sections are completed; no blank fields (N/A initialled where applicable)</w:t>
            </w:r>
          </w:p>
        </w:tc>
        <w:tc>
          <w:tcPr>
            <w:tcW w:type="dxa" w:w="9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Supervisor</w:t>
            </w:r>
          </w:p>
        </w:tc>
        <w:tc>
          <w:tcPr>
            <w:tcW w:type="dxa" w:w="600"/>
            <w:tcBorders>
              <w:top w:val="single" w:color="B0B8CC" w:sz="4"/>
              <w:left w:val="single" w:color="B0B8CC" w:sz="4"/>
              <w:bottom w:val="single" w:color="B0B8CC" w:sz="4"/>
              <w:right w:val="single" w:color="B0B8CC" w:sz="4"/>
            </w:tcBorders>
            <w:shd w:fill="D4EDDA" w:val="clear"/>
            <w:tcMar>
              <w:top w:type="dxa" w:w="80"/>
              <w:left w:type="dxa" w:w="140"/>
              <w:bottom w:type="dxa" w:w="80"/>
              <w:right w:type="dxa" w:w="140"/>
            </w:tcMar>
            <w:vAlign w:val="center"/>
          </w:tcPr>
          <w:p>
            <w:pPr>
              <w:jc w:val="center"/>
            </w:pPr>
            <w:r>
              <w:rPr>
                <w:rFonts w:ascii="Arial" w:cs="Arial" w:eastAsia="Arial" w:hAnsi="Arial"/>
                <w:sz w:val="18"/>
                <w:szCs w:val="18"/>
              </w:rPr>
              <w:t xml:space="preserve">☐</w:t>
            </w:r>
          </w:p>
        </w:tc>
      </w:tr>
      <w:tr>
        <w:tc>
          <w:tcPr>
            <w:tcW w:type="dxa" w:w="5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2</w:t>
            </w:r>
          </w:p>
        </w:tc>
        <w:tc>
          <w:tcPr>
            <w:tcW w:type="dxa" w:w="70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All operator entries are signed and countersigned by supervisor at the time of each step</w:t>
            </w:r>
          </w:p>
        </w:tc>
        <w:tc>
          <w:tcPr>
            <w:tcW w:type="dxa" w:w="9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Supervisor</w:t>
            </w:r>
          </w:p>
        </w:tc>
        <w:tc>
          <w:tcPr>
            <w:tcW w:type="dxa" w:w="600"/>
            <w:tcBorders>
              <w:top w:val="single" w:color="B0B8CC" w:sz="4"/>
              <w:left w:val="single" w:color="B0B8CC" w:sz="4"/>
              <w:bottom w:val="single" w:color="B0B8CC" w:sz="4"/>
              <w:right w:val="single" w:color="B0B8CC" w:sz="4"/>
            </w:tcBorders>
            <w:shd w:fill="D4EDDA" w:val="clear"/>
            <w:tcMar>
              <w:top w:type="dxa" w:w="80"/>
              <w:left w:type="dxa" w:w="140"/>
              <w:bottom w:type="dxa" w:w="80"/>
              <w:right w:type="dxa" w:w="140"/>
            </w:tcMar>
            <w:vAlign w:val="center"/>
          </w:tcPr>
          <w:p>
            <w:pPr>
              <w:jc w:val="center"/>
            </w:pPr>
            <w:r>
              <w:rPr>
                <w:rFonts w:ascii="Arial" w:cs="Arial" w:eastAsia="Arial" w:hAnsi="Arial"/>
                <w:sz w:val="18"/>
                <w:szCs w:val="18"/>
              </w:rPr>
              <w:t xml:space="preserve">☐</w:t>
            </w:r>
          </w:p>
        </w:tc>
      </w:tr>
      <w:tr>
        <w:tc>
          <w:tcPr>
            <w:tcW w:type="dxa" w:w="5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3</w:t>
            </w:r>
          </w:p>
        </w:tc>
        <w:tc>
          <w:tcPr>
            <w:tcW w:type="dxa" w:w="70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All IPC results are recorded and within acceptance criteria (or deviation raised)</w:t>
            </w:r>
          </w:p>
        </w:tc>
        <w:tc>
          <w:tcPr>
            <w:tcW w:type="dxa" w:w="9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Supervisor</w:t>
            </w:r>
          </w:p>
        </w:tc>
        <w:tc>
          <w:tcPr>
            <w:tcW w:type="dxa" w:w="600"/>
            <w:tcBorders>
              <w:top w:val="single" w:color="B0B8CC" w:sz="4"/>
              <w:left w:val="single" w:color="B0B8CC" w:sz="4"/>
              <w:bottom w:val="single" w:color="B0B8CC" w:sz="4"/>
              <w:right w:val="single" w:color="B0B8CC" w:sz="4"/>
            </w:tcBorders>
            <w:shd w:fill="D4EDDA" w:val="clear"/>
            <w:tcMar>
              <w:top w:type="dxa" w:w="80"/>
              <w:left w:type="dxa" w:w="140"/>
              <w:bottom w:type="dxa" w:w="80"/>
              <w:right w:type="dxa" w:w="140"/>
            </w:tcMar>
            <w:vAlign w:val="center"/>
          </w:tcPr>
          <w:p>
            <w:pPr>
              <w:jc w:val="center"/>
            </w:pPr>
            <w:r>
              <w:rPr>
                <w:rFonts w:ascii="Arial" w:cs="Arial" w:eastAsia="Arial" w:hAnsi="Arial"/>
                <w:sz w:val="18"/>
                <w:szCs w:val="18"/>
              </w:rPr>
              <w:t xml:space="preserve">☐</w:t>
            </w:r>
          </w:p>
        </w:tc>
      </w:tr>
      <w:tr>
        <w:tc>
          <w:tcPr>
            <w:tcW w:type="dxa" w:w="5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4</w:t>
            </w:r>
          </w:p>
        </w:tc>
        <w:tc>
          <w:tcPr>
            <w:tcW w:type="dxa" w:w="70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Environmental monitoring data is complete for all critical steps</w:t>
            </w:r>
          </w:p>
        </w:tc>
        <w:tc>
          <w:tcPr>
            <w:tcW w:type="dxa" w:w="9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Supervisor</w:t>
            </w:r>
          </w:p>
        </w:tc>
        <w:tc>
          <w:tcPr>
            <w:tcW w:type="dxa" w:w="600"/>
            <w:tcBorders>
              <w:top w:val="single" w:color="B0B8CC" w:sz="4"/>
              <w:left w:val="single" w:color="B0B8CC" w:sz="4"/>
              <w:bottom w:val="single" w:color="B0B8CC" w:sz="4"/>
              <w:right w:val="single" w:color="B0B8CC" w:sz="4"/>
            </w:tcBorders>
            <w:shd w:fill="D4EDDA" w:val="clear"/>
            <w:tcMar>
              <w:top w:type="dxa" w:w="80"/>
              <w:left w:type="dxa" w:w="140"/>
              <w:bottom w:type="dxa" w:w="80"/>
              <w:right w:type="dxa" w:w="140"/>
            </w:tcMar>
            <w:vAlign w:val="center"/>
          </w:tcPr>
          <w:p>
            <w:pPr>
              <w:jc w:val="center"/>
            </w:pPr>
            <w:r>
              <w:rPr>
                <w:rFonts w:ascii="Arial" w:cs="Arial" w:eastAsia="Arial" w:hAnsi="Arial"/>
                <w:sz w:val="18"/>
                <w:szCs w:val="18"/>
              </w:rPr>
              <w:t xml:space="preserve">☐</w:t>
            </w:r>
          </w:p>
        </w:tc>
      </w:tr>
      <w:tr>
        <w:tc>
          <w:tcPr>
            <w:tcW w:type="dxa" w:w="5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5</w:t>
            </w:r>
          </w:p>
        </w:tc>
        <w:tc>
          <w:tcPr>
            <w:tcW w:type="dxa" w:w="70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Yield reconciliation is complete; yield within MBMF limits (or deviation raised)</w:t>
            </w:r>
          </w:p>
        </w:tc>
        <w:tc>
          <w:tcPr>
            <w:tcW w:type="dxa" w:w="9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Supervisor</w:t>
            </w:r>
          </w:p>
        </w:tc>
        <w:tc>
          <w:tcPr>
            <w:tcW w:type="dxa" w:w="600"/>
            <w:tcBorders>
              <w:top w:val="single" w:color="B0B8CC" w:sz="4"/>
              <w:left w:val="single" w:color="B0B8CC" w:sz="4"/>
              <w:bottom w:val="single" w:color="B0B8CC" w:sz="4"/>
              <w:right w:val="single" w:color="B0B8CC" w:sz="4"/>
            </w:tcBorders>
            <w:shd w:fill="D4EDDA" w:val="clear"/>
            <w:tcMar>
              <w:top w:type="dxa" w:w="80"/>
              <w:left w:type="dxa" w:w="140"/>
              <w:bottom w:type="dxa" w:w="80"/>
              <w:right w:type="dxa" w:w="140"/>
            </w:tcMar>
            <w:vAlign w:val="center"/>
          </w:tcPr>
          <w:p>
            <w:pPr>
              <w:jc w:val="center"/>
            </w:pPr>
            <w:r>
              <w:rPr>
                <w:rFonts w:ascii="Arial" w:cs="Arial" w:eastAsia="Arial" w:hAnsi="Arial"/>
                <w:sz w:val="18"/>
                <w:szCs w:val="18"/>
              </w:rPr>
              <w:t xml:space="preserve">☐</w:t>
            </w:r>
          </w:p>
        </w:tc>
      </w:tr>
      <w:tr>
        <w:tc>
          <w:tcPr>
            <w:tcW w:type="dxa" w:w="5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6</w:t>
            </w:r>
          </w:p>
        </w:tc>
        <w:tc>
          <w:tcPr>
            <w:tcW w:type="dxa" w:w="70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All corrections are made per ALCOA+ policy (single strikethrough, initial, date, reason)</w:t>
            </w:r>
          </w:p>
        </w:tc>
        <w:tc>
          <w:tcPr>
            <w:tcW w:type="dxa" w:w="9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Supervisor</w:t>
            </w:r>
          </w:p>
        </w:tc>
        <w:tc>
          <w:tcPr>
            <w:tcW w:type="dxa" w:w="600"/>
            <w:tcBorders>
              <w:top w:val="single" w:color="B0B8CC" w:sz="4"/>
              <w:left w:val="single" w:color="B0B8CC" w:sz="4"/>
              <w:bottom w:val="single" w:color="B0B8CC" w:sz="4"/>
              <w:right w:val="single" w:color="B0B8CC" w:sz="4"/>
            </w:tcBorders>
            <w:shd w:fill="D4EDDA" w:val="clear"/>
            <w:tcMar>
              <w:top w:type="dxa" w:w="80"/>
              <w:left w:type="dxa" w:w="140"/>
              <w:bottom w:type="dxa" w:w="80"/>
              <w:right w:type="dxa" w:w="140"/>
            </w:tcMar>
            <w:vAlign w:val="center"/>
          </w:tcPr>
          <w:p>
            <w:pPr>
              <w:jc w:val="center"/>
            </w:pPr>
            <w:r>
              <w:rPr>
                <w:rFonts w:ascii="Arial" w:cs="Arial" w:eastAsia="Arial" w:hAnsi="Arial"/>
                <w:sz w:val="18"/>
                <w:szCs w:val="18"/>
              </w:rPr>
              <w:t xml:space="preserve">☐</w:t>
            </w:r>
          </w:p>
        </w:tc>
      </w:tr>
      <w:tr>
        <w:tc>
          <w:tcPr>
            <w:tcW w:type="dxa" w:w="5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7</w:t>
            </w:r>
          </w:p>
        </w:tc>
        <w:tc>
          <w:tcPr>
            <w:tcW w:type="dxa" w:w="70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All deviation reports referenced in Section G are attached or cross-referenced</w:t>
            </w:r>
          </w:p>
        </w:tc>
        <w:tc>
          <w:tcPr>
            <w:tcW w:type="dxa" w:w="9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Supervisor</w:t>
            </w:r>
          </w:p>
        </w:tc>
        <w:tc>
          <w:tcPr>
            <w:tcW w:type="dxa" w:w="600"/>
            <w:tcBorders>
              <w:top w:val="single" w:color="B0B8CC" w:sz="4"/>
              <w:left w:val="single" w:color="B0B8CC" w:sz="4"/>
              <w:bottom w:val="single" w:color="B0B8CC" w:sz="4"/>
              <w:right w:val="single" w:color="B0B8CC" w:sz="4"/>
            </w:tcBorders>
            <w:shd w:fill="D4EDDA" w:val="clear"/>
            <w:tcMar>
              <w:top w:type="dxa" w:w="80"/>
              <w:left w:type="dxa" w:w="140"/>
              <w:bottom w:type="dxa" w:w="80"/>
              <w:right w:type="dxa" w:w="140"/>
            </w:tcMar>
            <w:vAlign w:val="center"/>
          </w:tcPr>
          <w:p>
            <w:pPr>
              <w:jc w:val="center"/>
            </w:pPr>
            <w:r>
              <w:rPr>
                <w:rFonts w:ascii="Arial" w:cs="Arial" w:eastAsia="Arial" w:hAnsi="Arial"/>
                <w:sz w:val="18"/>
                <w:szCs w:val="18"/>
              </w:rPr>
              <w:t xml:space="preserve">☐</w:t>
            </w:r>
          </w:p>
        </w:tc>
      </w:tr>
      <w:tr>
        <w:tc>
          <w:tcPr>
            <w:tcW w:type="dxa" w:w="5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8</w:t>
            </w:r>
          </w:p>
        </w:tc>
        <w:tc>
          <w:tcPr>
            <w:tcW w:type="dxa" w:w="70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Equipment logbooks have been updated for all equipment used in this batch</w:t>
            </w:r>
          </w:p>
        </w:tc>
        <w:tc>
          <w:tcPr>
            <w:tcW w:type="dxa" w:w="9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Supervisor</w:t>
            </w:r>
          </w:p>
        </w:tc>
        <w:tc>
          <w:tcPr>
            <w:tcW w:type="dxa" w:w="600"/>
            <w:tcBorders>
              <w:top w:val="single" w:color="B0B8CC" w:sz="4"/>
              <w:left w:val="single" w:color="B0B8CC" w:sz="4"/>
              <w:bottom w:val="single" w:color="B0B8CC" w:sz="4"/>
              <w:right w:val="single" w:color="B0B8CC" w:sz="4"/>
            </w:tcBorders>
            <w:shd w:fill="D4EDDA" w:val="clear"/>
            <w:tcMar>
              <w:top w:type="dxa" w:w="80"/>
              <w:left w:type="dxa" w:w="140"/>
              <w:bottom w:type="dxa" w:w="80"/>
              <w:right w:type="dxa" w:w="140"/>
            </w:tcMar>
            <w:vAlign w:val="center"/>
          </w:tcPr>
          <w:p>
            <w:pPr>
              <w:jc w:val="center"/>
            </w:pPr>
            <w:r>
              <w:rPr>
                <w:rFonts w:ascii="Arial" w:cs="Arial" w:eastAsia="Arial" w:hAnsi="Arial"/>
                <w:sz w:val="18"/>
                <w:szCs w:val="18"/>
              </w:rPr>
              <w:t xml:space="preserve">☐</w:t>
            </w:r>
          </w:p>
        </w:tc>
      </w:tr>
      <w:tr>
        <w:tc>
          <w:tcPr>
            <w:tcW w:type="dxa" w:w="5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9</w:t>
            </w:r>
          </w:p>
        </w:tc>
        <w:tc>
          <w:tcPr>
            <w:tcW w:type="dxa" w:w="70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All product labels applied to in-process containers are correct (batch number, product, stage)</w:t>
            </w:r>
          </w:p>
        </w:tc>
        <w:tc>
          <w:tcPr>
            <w:tcW w:type="dxa" w:w="9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Supervisor</w:t>
            </w:r>
          </w:p>
        </w:tc>
        <w:tc>
          <w:tcPr>
            <w:tcW w:type="dxa" w:w="600"/>
            <w:tcBorders>
              <w:top w:val="single" w:color="B0B8CC" w:sz="4"/>
              <w:left w:val="single" w:color="B0B8CC" w:sz="4"/>
              <w:bottom w:val="single" w:color="B0B8CC" w:sz="4"/>
              <w:right w:val="single" w:color="B0B8CC" w:sz="4"/>
            </w:tcBorders>
            <w:shd w:fill="D4EDDA" w:val="clear"/>
            <w:tcMar>
              <w:top w:type="dxa" w:w="80"/>
              <w:left w:type="dxa" w:w="140"/>
              <w:bottom w:type="dxa" w:w="80"/>
              <w:right w:type="dxa" w:w="140"/>
            </w:tcMar>
            <w:vAlign w:val="center"/>
          </w:tcPr>
          <w:p>
            <w:pPr>
              <w:jc w:val="center"/>
            </w:pPr>
            <w:r>
              <w:rPr>
                <w:rFonts w:ascii="Arial" w:cs="Arial" w:eastAsia="Arial" w:hAnsi="Arial"/>
                <w:sz w:val="18"/>
                <w:szCs w:val="18"/>
              </w:rPr>
              <w:t xml:space="preserve">☐</w:t>
            </w:r>
          </w:p>
        </w:tc>
      </w:tr>
      <w:tr>
        <w:tc>
          <w:tcPr>
            <w:tcW w:type="dxa" w:w="5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center"/>
            </w:pPr>
            <w:r>
              <w:rPr>
                <w:rFonts w:ascii="Arial" w:cs="Arial" w:eastAsia="Arial" w:hAnsi="Arial"/>
                <w:sz w:val="18"/>
                <w:szCs w:val="18"/>
              </w:rPr>
              <w:t xml:space="preserve">10</w:t>
            </w:r>
          </w:p>
        </w:tc>
        <w:tc>
          <w:tcPr>
            <w:tcW w:type="dxa" w:w="70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BMR is clean, legible, and in sequential page order; all pages are present</w:t>
            </w:r>
          </w:p>
        </w:tc>
        <w:tc>
          <w:tcPr>
            <w:tcW w:type="dxa" w:w="9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Supervisor</w:t>
            </w:r>
          </w:p>
        </w:tc>
        <w:tc>
          <w:tcPr>
            <w:tcW w:type="dxa" w:w="600"/>
            <w:tcBorders>
              <w:top w:val="single" w:color="B0B8CC" w:sz="4"/>
              <w:left w:val="single" w:color="B0B8CC" w:sz="4"/>
              <w:bottom w:val="single" w:color="B0B8CC" w:sz="4"/>
              <w:right w:val="single" w:color="B0B8CC" w:sz="4"/>
            </w:tcBorders>
            <w:shd w:fill="D4EDDA" w:val="clear"/>
            <w:tcMar>
              <w:top w:type="dxa" w:w="80"/>
              <w:left w:type="dxa" w:w="140"/>
              <w:bottom w:type="dxa" w:w="80"/>
              <w:right w:type="dxa" w:w="140"/>
            </w:tcMar>
            <w:vAlign w:val="center"/>
          </w:tcPr>
          <w:p>
            <w:pPr>
              <w:jc w:val="center"/>
            </w:pPr>
            <w:r>
              <w:rPr>
                <w:rFonts w:ascii="Arial" w:cs="Arial" w:eastAsia="Arial" w:hAnsi="Arial"/>
                <w:sz w:val="18"/>
                <w:szCs w:val="18"/>
              </w:rPr>
              <w:t xml:space="preserve">☐</w:t>
            </w:r>
          </w:p>
        </w:tc>
      </w:tr>
    </w:tbl>
    <w:p>
      <w:pPr>
        <w:spacing w:before="0" w:after="0"/>
      </w:pPr>
      <w:r>
        <w:rPr>
          <w:sz w:val="18"/>
          <w:szCs w:val="18"/>
        </w:rPr>
        <w:t xml:space="preserve"/>
      </w:r>
    </w:p>
    <w:p>
      <w:pPr>
        <w:spacing w:before="60" w:after="60"/>
      </w:pPr>
      <w:r>
        <w:rPr>
          <w:rFonts w:ascii="Arial" w:cs="Arial" w:eastAsia="Arial" w:hAnsi="Arial"/>
          <w:sz w:val="18"/>
          <w:szCs w:val="18"/>
        </w:rPr>
        <w:t xml:space="preserve">Production Supervisor Signature: _________________________ Date / Time: __________</w:t>
      </w:r>
    </w:p>
    <w:p>
      <w:pPr>
        <w:spacing w:before="60" w:after="60"/>
      </w:pPr>
      <w:r>
        <w:rPr>
          <w:rFonts w:ascii="Arial" w:cs="Arial" w:eastAsia="Arial" w:hAnsi="Arial"/>
          <w:sz w:val="18"/>
          <w:szCs w:val="18"/>
        </w:rPr>
        <w:t xml:space="preserve">Head Production Signature: _________________________ Date: __________</w:t>
      </w:r>
    </w:p>
    <w:p>
      <w:pPr>
        <w:spacing w:before="0" w:after="0"/>
      </w:pPr>
      <w:r>
        <w:rPr>
          <w:sz w:val="18"/>
          <w:szCs w:val="18"/>
        </w:rPr>
        <w:t xml:space="preserve"/>
      </w:r>
    </w:p>
    <w:p>
      <w:pPr>
        <w:pStyle w:val="Heading2"/>
        <w:spacing w:before="200" w:after="80"/>
      </w:pPr>
      <w:r>
        <w:rPr>
          <w:rFonts w:ascii="Arial" w:cs="Arial" w:eastAsia="Arial" w:hAnsi="Arial"/>
          <w:b/>
          <w:bCs/>
          <w:color w:val="2E4D8A"/>
          <w:sz w:val="22"/>
          <w:szCs w:val="22"/>
        </w:rPr>
        <w:t xml:space="preserve">15.2 QA Batch Review Process</w:t>
      </w:r>
    </w:p>
    <w:p>
      <w:pPr>
        <w:spacing w:before="60" w:after="60"/>
      </w:pPr>
      <w:r>
        <w:rPr>
          <w:rFonts w:ascii="Arial" w:cs="Arial" w:eastAsia="Arial" w:hAnsi="Arial"/>
          <w:sz w:val="18"/>
          <w:szCs w:val="18"/>
        </w:rPr>
        <w:t xml:space="preserve">The Head QA (or designated Authorised Person) shall conduct a documented review of the completed BMR, batch packaging record, QC certificate of analysis, and all deviation/CAPA reports before making a batch disposition decision. The QA review shall verify:</w:t>
      </w:r>
    </w:p>
    <w:p>
      <w:pPr>
        <w:pStyle w:val="ListParagraph"/>
        <w:numPr>
          <w:ilvl w:val="0"/>
          <w:numId w:val="2"/>
        </w:numPr>
        <w:spacing w:before="40" w:after="40"/>
      </w:pPr>
      <w:r>
        <w:rPr>
          <w:rFonts w:ascii="Arial" w:cs="Arial" w:eastAsia="Arial" w:hAnsi="Arial"/>
          <w:sz w:val="18"/>
          <w:szCs w:val="18"/>
        </w:rPr>
        <w:t xml:space="preserve">All BMR sections are complete, signed, and countersigned as required.</w:t>
      </w:r>
    </w:p>
    <w:p>
      <w:pPr>
        <w:pStyle w:val="ListParagraph"/>
        <w:numPr>
          <w:ilvl w:val="0"/>
          <w:numId w:val="2"/>
        </w:numPr>
        <w:spacing w:before="40" w:after="40"/>
      </w:pPr>
      <w:r>
        <w:rPr>
          <w:rFonts w:ascii="Arial" w:cs="Arial" w:eastAsia="Arial" w:hAnsi="Arial"/>
          <w:sz w:val="18"/>
          <w:szCs w:val="18"/>
        </w:rPr>
        <w:t xml:space="preserve">Manufacturing was performed in accordance with the current approved MBMF (no unauthorised deviations).</w:t>
      </w:r>
    </w:p>
    <w:p>
      <w:pPr>
        <w:pStyle w:val="ListParagraph"/>
        <w:numPr>
          <w:ilvl w:val="0"/>
          <w:numId w:val="2"/>
        </w:numPr>
        <w:spacing w:before="40" w:after="40"/>
      </w:pPr>
      <w:r>
        <w:rPr>
          <w:rFonts w:ascii="Arial" w:cs="Arial" w:eastAsia="Arial" w:hAnsi="Arial"/>
          <w:sz w:val="18"/>
          <w:szCs w:val="18"/>
        </w:rPr>
        <w:t xml:space="preserve">All IPC results are within specification or have been investigated and assessed as acceptable.</w:t>
      </w:r>
    </w:p>
    <w:p>
      <w:pPr>
        <w:pStyle w:val="ListParagraph"/>
        <w:numPr>
          <w:ilvl w:val="0"/>
          <w:numId w:val="2"/>
        </w:numPr>
        <w:spacing w:before="40" w:after="40"/>
      </w:pPr>
      <w:r>
        <w:rPr>
          <w:rFonts w:ascii="Arial" w:cs="Arial" w:eastAsia="Arial" w:hAnsi="Arial"/>
          <w:sz w:val="18"/>
          <w:szCs w:val="18"/>
        </w:rPr>
        <w:t xml:space="preserve">All deviations have been formally raised, investigated, root-caused, and CAPA assigned; impact on the batch has been documented and accepted by QA.</w:t>
      </w:r>
    </w:p>
    <w:p>
      <w:pPr>
        <w:pStyle w:val="ListParagraph"/>
        <w:numPr>
          <w:ilvl w:val="0"/>
          <w:numId w:val="2"/>
        </w:numPr>
        <w:spacing w:before="40" w:after="40"/>
      </w:pPr>
      <w:r>
        <w:rPr>
          <w:rFonts w:ascii="Arial" w:cs="Arial" w:eastAsia="Arial" w:hAnsi="Arial"/>
          <w:sz w:val="18"/>
          <w:szCs w:val="18"/>
        </w:rPr>
        <w:t xml:space="preserve">Yield is within MBMF limits or the discrepancy has been investigated and accepted.</w:t>
      </w:r>
    </w:p>
    <w:p>
      <w:pPr>
        <w:pStyle w:val="ListParagraph"/>
        <w:numPr>
          <w:ilvl w:val="0"/>
          <w:numId w:val="2"/>
        </w:numPr>
        <w:spacing w:before="40" w:after="40"/>
      </w:pPr>
      <w:r>
        <w:rPr>
          <w:rFonts w:ascii="Arial" w:cs="Arial" w:eastAsia="Arial" w:hAnsi="Arial"/>
          <w:sz w:val="18"/>
          <w:szCs w:val="18"/>
        </w:rPr>
        <w:t xml:space="preserve">Environmental monitoring data shows conditions were within specification for all critical steps.</w:t>
      </w:r>
    </w:p>
    <w:p>
      <w:pPr>
        <w:pStyle w:val="ListParagraph"/>
        <w:numPr>
          <w:ilvl w:val="0"/>
          <w:numId w:val="2"/>
        </w:numPr>
        <w:spacing w:before="40" w:after="40"/>
      </w:pPr>
      <w:r>
        <w:rPr>
          <w:rFonts w:ascii="Arial" w:cs="Arial" w:eastAsia="Arial" w:hAnsi="Arial"/>
          <w:sz w:val="18"/>
          <w:szCs w:val="18"/>
        </w:rPr>
        <w:t xml:space="preserve">All starting materials were QC-released and used within their shelf life.</w:t>
      </w:r>
    </w:p>
    <w:p>
      <w:pPr>
        <w:pStyle w:val="ListParagraph"/>
        <w:numPr>
          <w:ilvl w:val="0"/>
          <w:numId w:val="2"/>
        </w:numPr>
        <w:spacing w:before="40" w:after="40"/>
      </w:pPr>
      <w:r>
        <w:rPr>
          <w:rFonts w:ascii="Arial" w:cs="Arial" w:eastAsia="Arial" w:hAnsi="Arial"/>
          <w:sz w:val="18"/>
          <w:szCs w:val="18"/>
        </w:rPr>
        <w:t xml:space="preserve">Finished product QC results (from the Certificate of Analysis) meet all specifications.</w:t>
      </w:r>
    </w:p>
    <w:p>
      <w:pPr>
        <w:pStyle w:val="ListParagraph"/>
        <w:numPr>
          <w:ilvl w:val="0"/>
          <w:numId w:val="2"/>
        </w:numPr>
        <w:spacing w:before="40" w:after="40"/>
      </w:pPr>
      <w:r>
        <w:rPr>
          <w:rFonts w:ascii="Arial" w:cs="Arial" w:eastAsia="Arial" w:hAnsi="Arial"/>
          <w:sz w:val="18"/>
          <w:szCs w:val="18"/>
        </w:rPr>
        <w:t xml:space="preserve">No outstanding quality events or regulatory holds affect this batch.</w:t>
      </w:r>
    </w:p>
    <w:p>
      <w:pPr>
        <w:spacing w:before="0" w:after="0"/>
      </w:pPr>
      <w:r>
        <w:rPr>
          <w:sz w:val="18"/>
          <w:szCs w:val="18"/>
        </w:rPr>
        <w:t xml:space="preserve"/>
      </w:r>
    </w:p>
    <w:p>
      <w:pPr>
        <w:pStyle w:val="Heading2"/>
        <w:spacing w:before="200" w:after="80"/>
      </w:pPr>
      <w:r>
        <w:rPr>
          <w:rFonts w:ascii="Arial" w:cs="Arial" w:eastAsia="Arial" w:hAnsi="Arial"/>
          <w:b/>
          <w:bCs/>
          <w:color w:val="2E4D8A"/>
          <w:sz w:val="22"/>
          <w:szCs w:val="22"/>
        </w:rPr>
        <w:t xml:space="preserve">15.3 Batch Disposition Decision</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800"/>
        <w:gridCol w:w="7226"/>
      </w:tblGrid>
      <w:tr>
        <w:tc>
          <w:tcPr>
            <w:tcW w:type="dxa" w:w="18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QA Review Completed:</w:t>
            </w:r>
          </w:p>
        </w:tc>
        <w:tc>
          <w:tcPr>
            <w:tcW w:type="dxa" w:w="7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r>
      <w:tr>
        <w:tc>
          <w:tcPr>
            <w:tcW w:type="dxa" w:w="18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Certificate of Analysis Ref.:</w:t>
            </w:r>
          </w:p>
        </w:tc>
        <w:tc>
          <w:tcPr>
            <w:tcW w:type="dxa" w:w="7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r>
      <w:tr>
        <w:tc>
          <w:tcPr>
            <w:tcW w:type="dxa" w:w="18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Open Deviations / CAPAs:</w:t>
            </w:r>
          </w:p>
        </w:tc>
        <w:tc>
          <w:tcPr>
            <w:tcW w:type="dxa" w:w="7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r>
      <w:tr>
        <w:tc>
          <w:tcPr>
            <w:tcW w:type="dxa" w:w="18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Batch Disposition:</w:t>
            </w:r>
          </w:p>
        </w:tc>
        <w:tc>
          <w:tcPr>
            <w:tcW w:type="dxa" w:w="7226"/>
            <w:tcBorders>
              <w:top w:val="single" w:color="B0B8CC" w:sz="4"/>
              <w:left w:val="single" w:color="B0B8CC" w:sz="4"/>
              <w:bottom w:val="single" w:color="B0B8CC" w:sz="4"/>
              <w:right w:val="single" w:color="B0B8CC" w:sz="4"/>
            </w:tcBorders>
            <w:shd w:fill="D4EDDA" w:val="clear"/>
            <w:tcMar>
              <w:top w:type="dxa" w:w="80"/>
              <w:left w:type="dxa" w:w="140"/>
              <w:bottom w:type="dxa" w:w="80"/>
              <w:right w:type="dxa" w:w="140"/>
            </w:tcMar>
          </w:tcPr>
          <w:p>
            <w:r>
              <w:rPr>
                <w:rFonts w:ascii="Arial" w:cs="Arial" w:eastAsia="Arial" w:hAnsi="Arial"/>
                <w:b/>
                <w:bCs/>
                <w:color w:val="138808"/>
                <w:sz w:val="20"/>
                <w:szCs w:val="20"/>
              </w:rPr>
              <w:t xml:space="preserve">☐  APPROVED FOR RELEASE     </w:t>
            </w:r>
            <w:r>
              <w:rPr>
                <w:rFonts w:ascii="Arial" w:cs="Arial" w:eastAsia="Arial" w:hAnsi="Arial"/>
                <w:b/>
                <w:bCs/>
                <w:color w:val="721C24"/>
                <w:sz w:val="20"/>
                <w:szCs w:val="20"/>
              </w:rPr>
              <w:t xml:space="preserve">☐  REJECTED     </w:t>
            </w:r>
            <w:r>
              <w:rPr>
                <w:rFonts w:ascii="Arial" w:cs="Arial" w:eastAsia="Arial" w:hAnsi="Arial"/>
                <w:b/>
                <w:bCs/>
                <w:color w:val="856404"/>
                <w:sz w:val="20"/>
                <w:szCs w:val="20"/>
              </w:rPr>
              <w:t xml:space="preserve">☐  PENDING INVESTIGATION</w:t>
            </w:r>
          </w:p>
        </w:tc>
      </w:tr>
      <w:tr>
        <w:tc>
          <w:tcPr>
            <w:tcW w:type="dxa" w:w="18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Remarks:</w:t>
            </w:r>
          </w:p>
        </w:tc>
        <w:tc>
          <w:tcPr>
            <w:tcW w:type="dxa" w:w="7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 </w:t>
            </w:r>
          </w:p>
        </w:tc>
      </w:tr>
    </w:tbl>
    <w:p>
      <w:pPr>
        <w:spacing w:before="0" w:after="0"/>
      </w:pPr>
      <w:r>
        <w:rPr>
          <w:sz w:val="18"/>
          <w:szCs w:val="18"/>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013"/>
        <w:gridCol w:w="3013"/>
        <w:gridCol w:w="3000"/>
      </w:tblGrid>
      <w:tr>
        <w:tc>
          <w:tcPr>
            <w:tcW w:type="dxa" w:w="3013"/>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tcPr>
          <w:p>
            <w:pPr>
              <w:spacing w:before="0" w:after="60"/>
            </w:pPr>
            <w:r>
              <w:rPr>
                <w:rFonts w:ascii="Arial" w:cs="Arial" w:eastAsia="Arial" w:hAnsi="Arial"/>
                <w:b/>
                <w:bCs/>
                <w:color w:val="1B2A4A"/>
                <w:sz w:val="16"/>
                <w:szCs w:val="16"/>
              </w:rPr>
              <w:t xml:space="preserve">Head QA / Authorised Person</w:t>
            </w:r>
          </w:p>
          <w:p>
            <w:pPr>
              <w:spacing w:before="80" w:after="0"/>
            </w:pPr>
            <w:r>
              <w:rPr>
                <w:rFonts w:ascii="Arial" w:cs="Arial" w:eastAsia="Arial" w:hAnsi="Arial"/>
                <w:color w:val="D9DCE6"/>
                <w:sz w:val="16"/>
                <w:szCs w:val="16"/>
              </w:rPr>
              <w:t xml:space="preserve">___________________________</w:t>
            </w:r>
          </w:p>
          <w:p>
            <w:pPr>
              <w:spacing w:before="40" w:after="0"/>
            </w:pPr>
            <w:r>
              <w:rPr>
                <w:rFonts w:ascii="Arial" w:cs="Arial" w:eastAsia="Arial" w:hAnsi="Arial"/>
                <w:b/>
                <w:bCs/>
                <w:sz w:val="15"/>
                <w:szCs w:val="15"/>
              </w:rPr>
              <w:t xml:space="preserve">Name: </w:t>
            </w:r>
            <w:r>
              <w:rPr>
                <w:rFonts w:ascii="Arial" w:cs="Arial" w:eastAsia="Arial" w:hAnsi="Arial"/>
                <w:color w:val="D9DCE6"/>
                <w:sz w:val="15"/>
                <w:szCs w:val="15"/>
              </w:rPr>
              <w:t xml:space="preserve">_________________</w:t>
            </w:r>
          </w:p>
          <w:p>
            <w:pPr>
              <w:spacing w:before="30" w:after="0"/>
            </w:pPr>
            <w:r>
              <w:rPr>
                <w:rFonts w:ascii="Arial" w:cs="Arial" w:eastAsia="Arial" w:hAnsi="Arial"/>
                <w:b/>
                <w:bCs/>
                <w:sz w:val="15"/>
                <w:szCs w:val="15"/>
              </w:rPr>
              <w:t xml:space="preserve">Date: </w:t>
            </w:r>
            <w:r>
              <w:rPr>
                <w:rFonts w:ascii="Arial" w:cs="Arial" w:eastAsia="Arial" w:hAnsi="Arial"/>
                <w:color w:val="D9DCE6"/>
                <w:sz w:val="15"/>
                <w:szCs w:val="15"/>
              </w:rPr>
              <w:t xml:space="preserve">_________________</w:t>
            </w:r>
          </w:p>
        </w:tc>
        <w:tc>
          <w:tcPr>
            <w:tcW w:type="dxa" w:w="3013"/>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tcPr>
          <w:p>
            <w:pPr>
              <w:spacing w:before="0" w:after="60"/>
            </w:pPr>
            <w:r>
              <w:rPr>
                <w:rFonts w:ascii="Arial" w:cs="Arial" w:eastAsia="Arial" w:hAnsi="Arial"/>
                <w:b/>
                <w:bCs/>
                <w:color w:val="1B2A4A"/>
                <w:sz w:val="16"/>
                <w:szCs w:val="16"/>
              </w:rPr>
              <w:t xml:space="preserve">Head Production</w:t>
            </w:r>
          </w:p>
          <w:p>
            <w:pPr>
              <w:spacing w:before="80" w:after="0"/>
            </w:pPr>
            <w:r>
              <w:rPr>
                <w:rFonts w:ascii="Arial" w:cs="Arial" w:eastAsia="Arial" w:hAnsi="Arial"/>
                <w:color w:val="D9DCE6"/>
                <w:sz w:val="16"/>
                <w:szCs w:val="16"/>
              </w:rPr>
              <w:t xml:space="preserve">___________________________</w:t>
            </w:r>
          </w:p>
          <w:p>
            <w:pPr>
              <w:spacing w:before="40" w:after="0"/>
            </w:pPr>
            <w:r>
              <w:rPr>
                <w:rFonts w:ascii="Arial" w:cs="Arial" w:eastAsia="Arial" w:hAnsi="Arial"/>
                <w:b/>
                <w:bCs/>
                <w:sz w:val="15"/>
                <w:szCs w:val="15"/>
              </w:rPr>
              <w:t xml:space="preserve">Name: </w:t>
            </w:r>
            <w:r>
              <w:rPr>
                <w:rFonts w:ascii="Arial" w:cs="Arial" w:eastAsia="Arial" w:hAnsi="Arial"/>
                <w:color w:val="D9DCE6"/>
                <w:sz w:val="15"/>
                <w:szCs w:val="15"/>
              </w:rPr>
              <w:t xml:space="preserve">_________________</w:t>
            </w:r>
          </w:p>
          <w:p>
            <w:pPr>
              <w:spacing w:before="30" w:after="0"/>
            </w:pPr>
            <w:r>
              <w:rPr>
                <w:rFonts w:ascii="Arial" w:cs="Arial" w:eastAsia="Arial" w:hAnsi="Arial"/>
                <w:b/>
                <w:bCs/>
                <w:sz w:val="15"/>
                <w:szCs w:val="15"/>
              </w:rPr>
              <w:t xml:space="preserve">Date: </w:t>
            </w:r>
            <w:r>
              <w:rPr>
                <w:rFonts w:ascii="Arial" w:cs="Arial" w:eastAsia="Arial" w:hAnsi="Arial"/>
                <w:color w:val="D9DCE6"/>
                <w:sz w:val="15"/>
                <w:szCs w:val="15"/>
              </w:rPr>
              <w:t xml:space="preserve">_________________</w:t>
            </w:r>
          </w:p>
        </w:tc>
        <w:tc>
          <w:tcPr>
            <w:tcW w:type="dxa" w:w="30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tcPr>
          <w:p>
            <w:pPr>
              <w:spacing w:before="0" w:after="60"/>
            </w:pPr>
            <w:r>
              <w:rPr>
                <w:rFonts w:ascii="Arial" w:cs="Arial" w:eastAsia="Arial" w:hAnsi="Arial"/>
                <w:b/>
                <w:bCs/>
                <w:color w:val="1B2A4A"/>
                <w:sz w:val="16"/>
                <w:szCs w:val="16"/>
              </w:rPr>
              <w:t xml:space="preserve">Head QC</w:t>
            </w:r>
          </w:p>
          <w:p>
            <w:pPr>
              <w:spacing w:before="80" w:after="0"/>
            </w:pPr>
            <w:r>
              <w:rPr>
                <w:rFonts w:ascii="Arial" w:cs="Arial" w:eastAsia="Arial" w:hAnsi="Arial"/>
                <w:color w:val="D9DCE6"/>
                <w:sz w:val="16"/>
                <w:szCs w:val="16"/>
              </w:rPr>
              <w:t xml:space="preserve">___________________________</w:t>
            </w:r>
          </w:p>
          <w:p>
            <w:pPr>
              <w:spacing w:before="40" w:after="0"/>
            </w:pPr>
            <w:r>
              <w:rPr>
                <w:rFonts w:ascii="Arial" w:cs="Arial" w:eastAsia="Arial" w:hAnsi="Arial"/>
                <w:b/>
                <w:bCs/>
                <w:sz w:val="15"/>
                <w:szCs w:val="15"/>
              </w:rPr>
              <w:t xml:space="preserve">Name: </w:t>
            </w:r>
            <w:r>
              <w:rPr>
                <w:rFonts w:ascii="Arial" w:cs="Arial" w:eastAsia="Arial" w:hAnsi="Arial"/>
                <w:color w:val="D9DCE6"/>
                <w:sz w:val="15"/>
                <w:szCs w:val="15"/>
              </w:rPr>
              <w:t xml:space="preserve">_________________</w:t>
            </w:r>
          </w:p>
          <w:p>
            <w:pPr>
              <w:spacing w:before="30" w:after="0"/>
            </w:pPr>
            <w:r>
              <w:rPr>
                <w:rFonts w:ascii="Arial" w:cs="Arial" w:eastAsia="Arial" w:hAnsi="Arial"/>
                <w:b/>
                <w:bCs/>
                <w:sz w:val="15"/>
                <w:szCs w:val="15"/>
              </w:rPr>
              <w:t xml:space="preserve">Date: </w:t>
            </w:r>
            <w:r>
              <w:rPr>
                <w:rFonts w:ascii="Arial" w:cs="Arial" w:eastAsia="Arial" w:hAnsi="Arial"/>
                <w:color w:val="D9DCE6"/>
                <w:sz w:val="15"/>
                <w:szCs w:val="15"/>
              </w:rPr>
              <w:t xml:space="preserve">_________________</w:t>
            </w:r>
          </w:p>
        </w:tc>
      </w:tr>
    </w:tbl>
    <w:p>
      <w:pPr>
        <w:spacing w:before="0" w:after="0"/>
      </w:pPr>
      <w:r>
        <w:rPr>
          <w:sz w:val="18"/>
          <w:szCs w:val="18"/>
        </w:rPr>
        <w:t xml:space="preserve"/>
      </w:r>
    </w:p>
    <w:p>
      <w:pPr>
        <w:pStyle w:val="Heading1"/>
        <w:pBdr>
          <w:bottom w:val="single" w:color="3A72C9" w:sz="6" w:space="4"/>
        </w:pBdr>
        <w:spacing w:before="300" w:after="120"/>
      </w:pPr>
      <w:r>
        <w:rPr>
          <w:rFonts w:ascii="Arial" w:cs="Arial" w:eastAsia="Arial" w:hAnsi="Arial"/>
          <w:b/>
          <w:bCs/>
          <w:color w:val="1B2A4A"/>
          <w:sz w:val="28"/>
          <w:szCs w:val="28"/>
        </w:rPr>
        <w:t xml:space="preserve">16. BMR RETENTION, ARCHIVAL &amp; RETRIEVAL</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600"/>
        <w:gridCol w:w="6426"/>
      </w:tblGrid>
      <w:tr>
        <w:trPr>
          <w:tblHeader/>
        </w:trPr>
        <w:tc>
          <w:tcPr>
            <w:tcW w:type="dxa" w:w="26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Requirement</w:t>
            </w:r>
          </w:p>
        </w:tc>
        <w:tc>
          <w:tcPr>
            <w:tcW w:type="dxa" w:w="6426"/>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Details</w:t>
            </w:r>
          </w:p>
        </w:tc>
      </w:tr>
      <w:tr>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Retention Period (Schedule M)</w:t>
            </w:r>
          </w:p>
        </w:tc>
        <w:tc>
          <w:tcPr>
            <w:tcW w:type="dxa" w:w="64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Minimum 1 year beyond expiry date of the batch, or 7 years from date of manufacture — whichever is longer. For Schedule H/H1/X drugs, refer to additional regulatory requirements.</w:t>
            </w:r>
          </w:p>
        </w:tc>
      </w:tr>
      <w:tr>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Archival Location</w:t>
            </w:r>
          </w:p>
        </w:tc>
        <w:tc>
          <w:tcPr>
            <w:tcW w:type="dxa" w:w="64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Controlled QA archive room; temperature and humidity monitored; access restricted to authorised personnel; indexed in Batch Archive Register [QA-REG-ARCH-001].</w:t>
            </w:r>
          </w:p>
        </w:tc>
      </w:tr>
      <w:tr>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BMR Submission Timeline</w:t>
            </w:r>
          </w:p>
        </w:tc>
        <w:tc>
          <w:tcPr>
            <w:tcW w:type="dxa" w:w="64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Completed BMR must be submitted to QA within [2] working days of batch completion. QA review must be completed within [X] working days of receipt.</w:t>
            </w:r>
          </w:p>
        </w:tc>
      </w:tr>
      <w:tr>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Retrieval SLA</w:t>
            </w:r>
          </w:p>
        </w:tc>
        <w:tc>
          <w:tcPr>
            <w:tcW w:type="dxa" w:w="64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Any batch BMR must be retrievable within [4] working hours of a request from QA, regulatory inspector, or senior management.</w:t>
            </w:r>
          </w:p>
        </w:tc>
      </w:tr>
      <w:tr>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Electronic Records</w:t>
            </w:r>
          </w:p>
        </w:tc>
        <w:tc>
          <w:tcPr>
            <w:tcW w:type="dxa" w:w="64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For eBMRs, backup is performed per the IT Backup SOP [SOP-IT-BCK-XXX]; audit trail must be retained with the record; printed copies for archive require metadata (audit trail extract) attached.</w:t>
            </w:r>
          </w:p>
        </w:tc>
      </w:tr>
      <w:tr>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Destruction</w:t>
            </w:r>
          </w:p>
        </w:tc>
        <w:tc>
          <w:tcPr>
            <w:tcW w:type="dxa" w:w="64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BMRs may only be destroyed after the full retention period has elapsed; destruction requires written QA authorisation; a Certificate of Destruction is retained permanently.</w:t>
            </w:r>
          </w:p>
        </w:tc>
      </w:tr>
      <w:tr>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Recall Readiness</w:t>
            </w:r>
          </w:p>
        </w:tc>
        <w:tc>
          <w:tcPr>
            <w:tcW w:type="dxa" w:w="64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BMR and all associated records must support a complete batch trace within 4 hours for urgent recall scenarios; traceability index must be maintained.</w:t>
            </w:r>
          </w:p>
        </w:tc>
      </w:tr>
    </w:tbl>
    <w:p>
      <w:pPr>
        <w:spacing w:before="0" w:after="0"/>
      </w:pPr>
      <w:r>
        <w:rPr>
          <w:sz w:val="18"/>
          <w:szCs w:val="18"/>
        </w:rPr>
        <w:t xml:space="preserve"/>
      </w:r>
    </w:p>
    <w:p>
      <w:pPr>
        <w:pStyle w:val="Heading1"/>
        <w:pBdr>
          <w:bottom w:val="single" w:color="3A72C9" w:sz="6" w:space="4"/>
        </w:pBdr>
        <w:spacing w:before="300" w:after="120"/>
      </w:pPr>
      <w:r>
        <w:rPr>
          <w:rFonts w:ascii="Arial" w:cs="Arial" w:eastAsia="Arial" w:hAnsi="Arial"/>
          <w:b/>
          <w:bCs/>
          <w:color w:val="1B2A4A"/>
          <w:sz w:val="28"/>
          <w:szCs w:val="28"/>
        </w:rPr>
        <w:t xml:space="preserve">17. TRAINING REQUIREMENTS</w:t>
      </w:r>
    </w:p>
    <w:p>
      <w:pPr>
        <w:pStyle w:val="ListParagraph"/>
        <w:numPr>
          <w:ilvl w:val="0"/>
          <w:numId w:val="2"/>
        </w:numPr>
        <w:spacing w:before="40" w:after="40"/>
      </w:pPr>
      <w:r>
        <w:rPr>
          <w:rFonts w:ascii="Arial" w:cs="Arial" w:eastAsia="Arial" w:hAnsi="Arial"/>
          <w:sz w:val="18"/>
          <w:szCs w:val="18"/>
        </w:rPr>
        <w:t xml:space="preserve">All personnel involved in BMR completion (production operators, supervisors, QC analysts, QA reviewers) must complete the BMR Completion Training Module [TRN-BMR-001] before working on any live BMR.</w:t>
      </w:r>
    </w:p>
    <w:p>
      <w:pPr>
        <w:pStyle w:val="ListParagraph"/>
        <w:numPr>
          <w:ilvl w:val="0"/>
          <w:numId w:val="2"/>
        </w:numPr>
        <w:spacing w:before="40" w:after="40"/>
      </w:pPr>
      <w:r>
        <w:rPr>
          <w:rFonts w:ascii="Arial" w:cs="Arial" w:eastAsia="Arial" w:hAnsi="Arial"/>
          <w:sz w:val="18"/>
          <w:szCs w:val="18"/>
        </w:rPr>
        <w:t xml:space="preserve">Training includes: Schedule M Clause 5.2 requirements, ALCOA+ principles, correction policy, IPC recording, deviation reporting, and hands-on practice with a dummy BMR.</w:t>
      </w:r>
    </w:p>
    <w:p>
      <w:pPr>
        <w:pStyle w:val="ListParagraph"/>
        <w:numPr>
          <w:ilvl w:val="0"/>
          <w:numId w:val="2"/>
        </w:numPr>
        <w:spacing w:before="40" w:after="40"/>
      </w:pPr>
      <w:r>
        <w:rPr>
          <w:rFonts w:ascii="Arial" w:cs="Arial" w:eastAsia="Arial" w:hAnsi="Arial"/>
          <w:sz w:val="18"/>
          <w:szCs w:val="18"/>
        </w:rPr>
        <w:t xml:space="preserve">Assessment must be completed with a score of ≥ 80% before sign-off. Training records are maintained in the Training Register [FORM-TRN-REG-001].</w:t>
      </w:r>
    </w:p>
    <w:p>
      <w:pPr>
        <w:pStyle w:val="ListParagraph"/>
        <w:numPr>
          <w:ilvl w:val="0"/>
          <w:numId w:val="2"/>
        </w:numPr>
        <w:spacing w:before="40" w:after="40"/>
      </w:pPr>
      <w:r>
        <w:rPr>
          <w:rFonts w:ascii="Arial" w:cs="Arial" w:eastAsia="Arial" w:hAnsi="Arial"/>
          <w:sz w:val="18"/>
          <w:szCs w:val="18"/>
        </w:rPr>
        <w:t xml:space="preserve">Refresher training is mandatory following: SOP revision, any data integrity incident involving a BMR, regulatory inspection finding related to BMR quality, or annual GMP refresher.</w:t>
      </w:r>
    </w:p>
    <w:p>
      <w:pPr>
        <w:pStyle w:val="ListParagraph"/>
        <w:numPr>
          <w:ilvl w:val="0"/>
          <w:numId w:val="2"/>
        </w:numPr>
        <w:spacing w:before="40" w:after="40"/>
      </w:pPr>
      <w:r>
        <w:rPr>
          <w:rFonts w:ascii="Arial" w:cs="Arial" w:eastAsia="Arial" w:hAnsi="Arial"/>
          <w:sz w:val="18"/>
          <w:szCs w:val="18"/>
        </w:rPr>
        <w:t xml:space="preserve">QA reviewers must complete additional training on batch review methodology and batch disposition decision-making [TRN-QA-BREV-001].</w:t>
      </w:r>
    </w:p>
    <w:p>
      <w:pPr>
        <w:spacing w:before="0" w:after="0"/>
      </w:pPr>
      <w:r>
        <w:rPr>
          <w:sz w:val="18"/>
          <w:szCs w:val="18"/>
        </w:rPr>
        <w:t xml:space="preserve"/>
      </w:r>
    </w:p>
    <w:p>
      <w:pPr>
        <w:pStyle w:val="Heading1"/>
        <w:pBdr>
          <w:bottom w:val="single" w:color="3A72C9" w:sz="6" w:space="4"/>
        </w:pBdr>
        <w:spacing w:before="300" w:after="120"/>
      </w:pPr>
      <w:r>
        <w:rPr>
          <w:rFonts w:ascii="Arial" w:cs="Arial" w:eastAsia="Arial" w:hAnsi="Arial"/>
          <w:b/>
          <w:bCs/>
          <w:color w:val="1B2A4A"/>
          <w:sz w:val="28"/>
          <w:szCs w:val="28"/>
        </w:rPr>
        <w:t xml:space="preserve">18. ASSOCIATED DOCUMENTS &amp; FORMS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600"/>
        <w:gridCol w:w="4226"/>
        <w:gridCol w:w="2200"/>
      </w:tblGrid>
      <w:tr>
        <w:trPr>
          <w:tblHeader/>
        </w:trPr>
        <w:tc>
          <w:tcPr>
            <w:tcW w:type="dxa" w:w="26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Document Number</w:t>
            </w:r>
          </w:p>
        </w:tc>
        <w:tc>
          <w:tcPr>
            <w:tcW w:type="dxa" w:w="4226"/>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Document Title</w:t>
            </w:r>
          </w:p>
        </w:tc>
        <w:tc>
          <w:tcPr>
            <w:tcW w:type="dxa" w:w="22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Owner</w:t>
            </w:r>
          </w:p>
        </w:tc>
      </w:tr>
      <w:tr>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MBMF-[PROD]-001</w:t>
            </w:r>
          </w:p>
        </w:tc>
        <w:tc>
          <w:tcPr>
            <w:tcW w:type="dxa" w:w="4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Master Batch Manufacturing Formula — [Product Name]</w:t>
            </w:r>
          </w:p>
        </w:tc>
        <w:tc>
          <w:tcPr>
            <w:tcW w:type="dxa" w:w="2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Regulatory / QA</w:t>
            </w:r>
          </w:p>
        </w:tc>
      </w:tr>
      <w:tr>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FORM-BMR-ISS-001</w:t>
            </w:r>
          </w:p>
        </w:tc>
        <w:tc>
          <w:tcPr>
            <w:tcW w:type="dxa" w:w="4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BMR Issuance Register</w:t>
            </w:r>
          </w:p>
        </w:tc>
        <w:tc>
          <w:tcPr>
            <w:tcW w:type="dxa" w:w="2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QA / Document Control</w:t>
            </w:r>
          </w:p>
        </w:tc>
      </w:tr>
      <w:tr>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FORM-CLN-LC-001</w:t>
            </w:r>
          </w:p>
        </w:tc>
        <w:tc>
          <w:tcPr>
            <w:tcW w:type="dxa" w:w="4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Line Clearance Form</w:t>
            </w:r>
          </w:p>
        </w:tc>
        <w:tc>
          <w:tcPr>
            <w:tcW w:type="dxa" w:w="2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Production / QA</w:t>
            </w:r>
          </w:p>
        </w:tc>
      </w:tr>
      <w:tr>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FORM-CLN-LOG-001</w:t>
            </w:r>
          </w:p>
        </w:tc>
        <w:tc>
          <w:tcPr>
            <w:tcW w:type="dxa" w:w="4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Equipment Cleaning Logbook</w:t>
            </w:r>
          </w:p>
        </w:tc>
        <w:tc>
          <w:tcPr>
            <w:tcW w:type="dxa" w:w="2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Production</w:t>
            </w:r>
          </w:p>
        </w:tc>
      </w:tr>
      <w:tr>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FORM-ENG-LOG-XXX</w:t>
            </w:r>
          </w:p>
        </w:tc>
        <w:tc>
          <w:tcPr>
            <w:tcW w:type="dxa" w:w="4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Equipment Use Logbook</w:t>
            </w:r>
          </w:p>
        </w:tc>
        <w:tc>
          <w:tcPr>
            <w:tcW w:type="dxa" w:w="2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Engineering / Production</w:t>
            </w:r>
          </w:p>
        </w:tc>
      </w:tr>
      <w:tr>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DEV-FORM-001</w:t>
            </w:r>
          </w:p>
        </w:tc>
        <w:tc>
          <w:tcPr>
            <w:tcW w:type="dxa" w:w="4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Deviation Report Form</w:t>
            </w:r>
          </w:p>
        </w:tc>
        <w:tc>
          <w:tcPr>
            <w:tcW w:type="dxa" w:w="2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QA</w:t>
            </w:r>
          </w:p>
        </w:tc>
      </w:tr>
      <w:tr>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CAPA-FORM-001</w:t>
            </w:r>
          </w:p>
        </w:tc>
        <w:tc>
          <w:tcPr>
            <w:tcW w:type="dxa" w:w="4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CAPA Request Form</w:t>
            </w:r>
          </w:p>
        </w:tc>
        <w:tc>
          <w:tcPr>
            <w:tcW w:type="dxa" w:w="2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QA</w:t>
            </w:r>
          </w:p>
        </w:tc>
      </w:tr>
      <w:tr>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FORM-TRN-REG-001</w:t>
            </w:r>
          </w:p>
        </w:tc>
        <w:tc>
          <w:tcPr>
            <w:tcW w:type="dxa" w:w="4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Training Register</w:t>
            </w:r>
          </w:p>
        </w:tc>
        <w:tc>
          <w:tcPr>
            <w:tcW w:type="dxa" w:w="2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QA / HR</w:t>
            </w:r>
          </w:p>
        </w:tc>
      </w:tr>
      <w:tr>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SOP-BPR-XXX</w:t>
            </w:r>
          </w:p>
        </w:tc>
        <w:tc>
          <w:tcPr>
            <w:tcW w:type="dxa" w:w="4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Batch Packaging Record SOP</w:t>
            </w:r>
          </w:p>
        </w:tc>
        <w:tc>
          <w:tcPr>
            <w:tcW w:type="dxa" w:w="2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Production / QA</w:t>
            </w:r>
          </w:p>
        </w:tc>
      </w:tr>
      <w:tr>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SOP-QA-DEV-XXX</w:t>
            </w:r>
          </w:p>
        </w:tc>
        <w:tc>
          <w:tcPr>
            <w:tcW w:type="dxa" w:w="4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Deviation Management SOP</w:t>
            </w:r>
          </w:p>
        </w:tc>
        <w:tc>
          <w:tcPr>
            <w:tcW w:type="dxa" w:w="2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QA</w:t>
            </w:r>
          </w:p>
        </w:tc>
      </w:tr>
      <w:tr>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SOP-QA-CC-XXX</w:t>
            </w:r>
          </w:p>
        </w:tc>
        <w:tc>
          <w:tcPr>
            <w:tcW w:type="dxa" w:w="4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Change Control SOP</w:t>
            </w:r>
          </w:p>
        </w:tc>
        <w:tc>
          <w:tcPr>
            <w:tcW w:type="dxa" w:w="2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QA</w:t>
            </w:r>
          </w:p>
        </w:tc>
      </w:tr>
      <w:tr>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SOP-QA-ER-XXX</w:t>
            </w:r>
          </w:p>
        </w:tc>
        <w:tc>
          <w:tcPr>
            <w:tcW w:type="dxa" w:w="4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Electronic Records and Audit Trail SOP</w:t>
            </w:r>
          </w:p>
        </w:tc>
        <w:tc>
          <w:tcPr>
            <w:tcW w:type="dxa" w:w="2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QA / IT</w:t>
            </w:r>
          </w:p>
        </w:tc>
      </w:tr>
      <w:tr>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QA-REG-ARCH-001</w:t>
            </w:r>
          </w:p>
        </w:tc>
        <w:tc>
          <w:tcPr>
            <w:tcW w:type="dxa" w:w="4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Batch Archive Register</w:t>
            </w:r>
          </w:p>
        </w:tc>
        <w:tc>
          <w:tcPr>
            <w:tcW w:type="dxa" w:w="2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QA</w:t>
            </w:r>
          </w:p>
        </w:tc>
      </w:tr>
      <w:tr>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TRN-BMR-001</w:t>
            </w:r>
          </w:p>
        </w:tc>
        <w:tc>
          <w:tcPr>
            <w:tcW w:type="dxa" w:w="4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BMR Completion Training Module</w:t>
            </w:r>
          </w:p>
        </w:tc>
        <w:tc>
          <w:tcPr>
            <w:tcW w:type="dxa" w:w="2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QA / Production</w:t>
            </w:r>
          </w:p>
        </w:tc>
      </w:tr>
      <w:tr>
        <w:tc>
          <w:tcPr>
            <w:tcW w:type="dxa" w:w="26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pPr>
              <w:jc w:val="left"/>
            </w:pPr>
            <w:r>
              <w:rPr>
                <w:rFonts w:ascii="Arial" w:cs="Arial" w:eastAsia="Arial" w:hAnsi="Arial"/>
                <w:sz w:val="18"/>
                <w:szCs w:val="18"/>
              </w:rPr>
              <w:t xml:space="preserve">TRN-QA-BREV-001</w:t>
            </w:r>
          </w:p>
        </w:tc>
        <w:tc>
          <w:tcPr>
            <w:tcW w:type="dxa" w:w="4226"/>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Batch Review &amp; Disposition Training</w:t>
            </w:r>
          </w:p>
        </w:tc>
        <w:tc>
          <w:tcPr>
            <w:tcW w:type="dxa" w:w="2200"/>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pPr>
              <w:jc w:val="left"/>
            </w:pPr>
            <w:r>
              <w:rPr>
                <w:rFonts w:ascii="Arial" w:cs="Arial" w:eastAsia="Arial" w:hAnsi="Arial"/>
                <w:sz w:val="18"/>
                <w:szCs w:val="18"/>
              </w:rPr>
              <w:t xml:space="preserve">QA</w:t>
            </w:r>
          </w:p>
        </w:tc>
      </w:tr>
    </w:tbl>
    <w:p>
      <w:pPr>
        <w:spacing w:before="0" w:after="0"/>
      </w:pPr>
      <w:r>
        <w:rPr>
          <w:sz w:val="18"/>
          <w:szCs w:val="18"/>
        </w:rPr>
        <w:t xml:space="preserve"/>
      </w:r>
    </w:p>
    <w:p>
      <w:pPr>
        <w:pStyle w:val="Heading1"/>
        <w:pBdr>
          <w:bottom w:val="single" w:color="3A72C9" w:sz="6" w:space="4"/>
        </w:pBdr>
        <w:spacing w:before="300" w:after="120"/>
      </w:pPr>
      <w:r>
        <w:rPr>
          <w:rFonts w:ascii="Arial" w:cs="Arial" w:eastAsia="Arial" w:hAnsi="Arial"/>
          <w:b/>
          <w:bCs/>
          <w:color w:val="1B2A4A"/>
          <w:sz w:val="28"/>
          <w:szCs w:val="28"/>
        </w:rPr>
        <w:t xml:space="preserve">19. GLOSSARY OF ABBREVIATIONS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400"/>
        <w:gridCol w:w="3113"/>
        <w:gridCol w:w="1400"/>
        <w:gridCol w:w="3113"/>
      </w:tblGrid>
      <w:tr>
        <w:trPr>
          <w:tblHeader/>
        </w:trPr>
        <w:tc>
          <w:tcPr>
            <w:tcW w:type="dxa" w:w="14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Abbreviation</w:t>
            </w:r>
          </w:p>
        </w:tc>
        <w:tc>
          <w:tcPr>
            <w:tcW w:type="dxa" w:w="3113"/>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Meaning</w:t>
            </w:r>
          </w:p>
        </w:tc>
        <w:tc>
          <w:tcPr>
            <w:tcW w:type="dxa" w:w="1400"/>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Abbreviation</w:t>
            </w:r>
          </w:p>
        </w:tc>
        <w:tc>
          <w:tcPr>
            <w:tcW w:type="dxa" w:w="3113"/>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Meaning</w:t>
            </w:r>
          </w:p>
        </w:tc>
      </w:tr>
      <w:tr>
        <w:tc>
          <w:tcPr>
            <w:tcW w:type="dxa" w:w="1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ALCOA+</w:t>
            </w:r>
          </w:p>
        </w:tc>
        <w:tc>
          <w:tcPr>
            <w:tcW w:type="dxa" w:w="31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Attributable, Legible, Contemporaneous, Original, Accurate +</w:t>
            </w:r>
          </w:p>
        </w:tc>
        <w:tc>
          <w:tcPr>
            <w:tcW w:type="dxa" w:w="1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MBMF</w:t>
            </w:r>
          </w:p>
        </w:tc>
        <w:tc>
          <w:tcPr>
            <w:tcW w:type="dxa" w:w="31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Master Batch Manufacturing Formula</w:t>
            </w:r>
          </w:p>
        </w:tc>
      </w:tr>
      <w:tr>
        <w:tc>
          <w:tcPr>
            <w:tcW w:type="dxa" w:w="1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API</w:t>
            </w:r>
          </w:p>
        </w:tc>
        <w:tc>
          <w:tcPr>
            <w:tcW w:type="dxa" w:w="31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Active Pharmaceutical Ingredient</w:t>
            </w:r>
          </w:p>
        </w:tc>
        <w:tc>
          <w:tcPr>
            <w:tcW w:type="dxa" w:w="1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MES</w:t>
            </w:r>
          </w:p>
        </w:tc>
        <w:tc>
          <w:tcPr>
            <w:tcW w:type="dxa" w:w="31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Manufacturing Execution System</w:t>
            </w:r>
          </w:p>
        </w:tc>
      </w:tr>
      <w:tr>
        <w:tc>
          <w:tcPr>
            <w:tcW w:type="dxa" w:w="1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BMR</w:t>
            </w:r>
          </w:p>
        </w:tc>
        <w:tc>
          <w:tcPr>
            <w:tcW w:type="dxa" w:w="31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Batch Manufacturing Record</w:t>
            </w:r>
          </w:p>
        </w:tc>
        <w:tc>
          <w:tcPr>
            <w:tcW w:type="dxa" w:w="1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MSDS / SDS</w:t>
            </w:r>
          </w:p>
        </w:tc>
        <w:tc>
          <w:tcPr>
            <w:tcW w:type="dxa" w:w="31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Safety Data Sheet</w:t>
            </w:r>
          </w:p>
        </w:tc>
      </w:tr>
      <w:tr>
        <w:tc>
          <w:tcPr>
            <w:tcW w:type="dxa" w:w="1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BPR</w:t>
            </w:r>
          </w:p>
        </w:tc>
        <w:tc>
          <w:tcPr>
            <w:tcW w:type="dxa" w:w="31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Batch Packaging Record</w:t>
            </w:r>
          </w:p>
        </w:tc>
        <w:tc>
          <w:tcPr>
            <w:tcW w:type="dxa" w:w="1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N/A</w:t>
            </w:r>
          </w:p>
        </w:tc>
        <w:tc>
          <w:tcPr>
            <w:tcW w:type="dxa" w:w="31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Not Applicable</w:t>
            </w:r>
          </w:p>
        </w:tc>
      </w:tr>
      <w:tr>
        <w:tc>
          <w:tcPr>
            <w:tcW w:type="dxa" w:w="1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CAPA</w:t>
            </w:r>
          </w:p>
        </w:tc>
        <w:tc>
          <w:tcPr>
            <w:tcW w:type="dxa" w:w="31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Corrective and Preventive Action</w:t>
            </w:r>
          </w:p>
        </w:tc>
        <w:tc>
          <w:tcPr>
            <w:tcW w:type="dxa" w:w="1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OOL</w:t>
            </w:r>
          </w:p>
        </w:tc>
        <w:tc>
          <w:tcPr>
            <w:tcW w:type="dxa" w:w="31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Out-of-Limit</w:t>
            </w:r>
          </w:p>
        </w:tc>
      </w:tr>
      <w:tr>
        <w:tc>
          <w:tcPr>
            <w:tcW w:type="dxa" w:w="1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CoA</w:t>
            </w:r>
          </w:p>
        </w:tc>
        <w:tc>
          <w:tcPr>
            <w:tcW w:type="dxa" w:w="31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Certificate of Analysis</w:t>
            </w:r>
          </w:p>
        </w:tc>
        <w:tc>
          <w:tcPr>
            <w:tcW w:type="dxa" w:w="1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OOS</w:t>
            </w:r>
          </w:p>
        </w:tc>
        <w:tc>
          <w:tcPr>
            <w:tcW w:type="dxa" w:w="31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Out-of-Specification</w:t>
            </w:r>
          </w:p>
        </w:tc>
      </w:tr>
      <w:tr>
        <w:tc>
          <w:tcPr>
            <w:tcW w:type="dxa" w:w="1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eBMR</w:t>
            </w:r>
          </w:p>
        </w:tc>
        <w:tc>
          <w:tcPr>
            <w:tcW w:type="dxa" w:w="31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Electronic Batch Manufacturing Record</w:t>
            </w:r>
          </w:p>
        </w:tc>
        <w:tc>
          <w:tcPr>
            <w:tcW w:type="dxa" w:w="1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QA</w:t>
            </w:r>
          </w:p>
        </w:tc>
        <w:tc>
          <w:tcPr>
            <w:tcW w:type="dxa" w:w="31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Quality Assurance</w:t>
            </w:r>
          </w:p>
        </w:tc>
      </w:tr>
      <w:tr>
        <w:tc>
          <w:tcPr>
            <w:tcW w:type="dxa" w:w="1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GMP</w:t>
            </w:r>
          </w:p>
        </w:tc>
        <w:tc>
          <w:tcPr>
            <w:tcW w:type="dxa" w:w="31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Good Manufacturing Practice</w:t>
            </w:r>
          </w:p>
        </w:tc>
        <w:tc>
          <w:tcPr>
            <w:tcW w:type="dxa" w:w="1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QC</w:t>
            </w:r>
          </w:p>
        </w:tc>
        <w:tc>
          <w:tcPr>
            <w:tcW w:type="dxa" w:w="31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Quality Control</w:t>
            </w:r>
          </w:p>
        </w:tc>
      </w:tr>
      <w:tr>
        <w:tc>
          <w:tcPr>
            <w:tcW w:type="dxa" w:w="1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IPC</w:t>
            </w:r>
          </w:p>
        </w:tc>
        <w:tc>
          <w:tcPr>
            <w:tcW w:type="dxa" w:w="31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In-Process Control</w:t>
            </w:r>
          </w:p>
        </w:tc>
        <w:tc>
          <w:tcPr>
            <w:tcW w:type="dxa" w:w="1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RH</w:t>
            </w:r>
          </w:p>
        </w:tc>
        <w:tc>
          <w:tcPr>
            <w:tcW w:type="dxa" w:w="31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Relative Humidity</w:t>
            </w:r>
          </w:p>
        </w:tc>
      </w:tr>
      <w:tr>
        <w:tc>
          <w:tcPr>
            <w:tcW w:type="dxa" w:w="1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LIMS</w:t>
            </w:r>
          </w:p>
        </w:tc>
        <w:tc>
          <w:tcPr>
            <w:tcW w:type="dxa" w:w="31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Laboratory Information Management System</w:t>
            </w:r>
          </w:p>
        </w:tc>
        <w:tc>
          <w:tcPr>
            <w:tcW w:type="dxa" w:w="1400"/>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vAlign w:val="center"/>
          </w:tcPr>
          <w:p>
            <w:r>
              <w:rPr>
                <w:rFonts w:ascii="Arial" w:cs="Arial" w:eastAsia="Arial" w:hAnsi="Arial"/>
                <w:b/>
                <w:bCs/>
                <w:color w:val="1B2A4A"/>
                <w:sz w:val="18"/>
                <w:szCs w:val="18"/>
              </w:rPr>
              <w:t xml:space="preserve">SOP</w:t>
            </w:r>
          </w:p>
        </w:tc>
        <w:tc>
          <w:tcPr>
            <w:tcW w:type="dxa" w:w="3113"/>
            <w:tcBorders>
              <w:top w:val="single" w:color="B0B8CC" w:sz="4"/>
              <w:left w:val="single" w:color="B0B8CC" w:sz="4"/>
              <w:bottom w:val="single" w:color="B0B8CC" w:sz="4"/>
              <w:right w:val="single" w:color="B0B8CC" w:sz="4"/>
            </w:tcBorders>
            <w:shd w:fill="FFFFFF" w:val="clear"/>
            <w:tcMar>
              <w:top w:type="dxa" w:w="80"/>
              <w:left w:type="dxa" w:w="140"/>
              <w:bottom w:type="dxa" w:w="80"/>
              <w:right w:type="dxa" w:w="140"/>
            </w:tcMar>
            <w:vAlign w:val="center"/>
          </w:tcPr>
          <w:p>
            <w:r>
              <w:rPr>
                <w:rFonts w:ascii="Arial" w:cs="Arial" w:eastAsia="Arial" w:hAnsi="Arial"/>
                <w:i w:val="false"/>
                <w:iCs w:val="false"/>
                <w:sz w:val="18"/>
                <w:szCs w:val="18"/>
              </w:rPr>
              <w:t xml:space="preserve">Standard Operating Procedure</w:t>
            </w:r>
          </w:p>
        </w:tc>
      </w:tr>
    </w:tbl>
    <w:p>
      <w:pPr>
        <w:spacing w:before="0" w:after="0"/>
      </w:pPr>
      <w:r>
        <w:rPr>
          <w:sz w:val="18"/>
          <w:szCs w:val="18"/>
        </w:rPr>
        <w:t xml:space="preserve"/>
      </w:r>
    </w:p>
    <w:p>
      <w:pPr>
        <w:pStyle w:val="Heading1"/>
        <w:pBdr>
          <w:bottom w:val="single" w:color="3A72C9" w:sz="6" w:space="4"/>
        </w:pBdr>
        <w:spacing w:before="300" w:after="120"/>
      </w:pPr>
      <w:r>
        <w:rPr>
          <w:rFonts w:ascii="Arial" w:cs="Arial" w:eastAsia="Arial" w:hAnsi="Arial"/>
          <w:b/>
          <w:bCs/>
          <w:color w:val="1B2A4A"/>
          <w:sz w:val="28"/>
          <w:szCs w:val="28"/>
        </w:rPr>
        <w:t xml:space="preserve">20. APPROVAL SIGNATURES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805"/>
        <w:gridCol w:w="1805"/>
        <w:gridCol w:w="1808"/>
        <w:gridCol w:w="1804"/>
        <w:gridCol w:w="1804"/>
      </w:tblGrid>
      <w:tr>
        <w:tc>
          <w:tcPr>
            <w:tcW w:type="dxa" w:w="1805"/>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Prepared By</w:t>
            </w:r>
          </w:p>
        </w:tc>
        <w:tc>
          <w:tcPr>
            <w:tcW w:type="dxa" w:w="1805"/>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Reviewed By
(Head Production)</w:t>
            </w:r>
          </w:p>
        </w:tc>
        <w:tc>
          <w:tcPr>
            <w:tcW w:type="dxa" w:w="1808"/>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Reviewed By
(Head QC)</w:t>
            </w:r>
          </w:p>
        </w:tc>
        <w:tc>
          <w:tcPr>
            <w:tcW w:type="dxa" w:w="1804"/>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Reviewed By
(Validation Mgr.)</w:t>
            </w:r>
          </w:p>
        </w:tc>
        <w:tc>
          <w:tcPr>
            <w:tcW w:type="dxa" w:w="1804"/>
            <w:tcBorders>
              <w:top w:val="single" w:color="7090C0" w:sz="4"/>
              <w:left w:val="single" w:color="7090C0" w:sz="4"/>
              <w:bottom w:val="single" w:color="7090C0" w:sz="4"/>
              <w:right w:val="single" w:color="7090C0" w:sz="4"/>
            </w:tcBorders>
            <w:shd w:fill="1B2A4A" w:val="clear"/>
            <w:tcMar>
              <w:top w:type="dxa" w:w="80"/>
              <w:left w:type="dxa" w:w="140"/>
              <w:bottom w:type="dxa" w:w="80"/>
              <w:right w:type="dxa" w:w="140"/>
            </w:tcMar>
            <w:vAlign w:val="center"/>
          </w:tcPr>
          <w:p>
            <w:pPr>
              <w:jc w:val="center"/>
            </w:pPr>
            <w:r>
              <w:rPr>
                <w:rFonts w:ascii="Arial" w:cs="Arial" w:eastAsia="Arial" w:hAnsi="Arial"/>
                <w:b/>
                <w:bCs/>
                <w:color w:val="FFFFFF"/>
                <w:sz w:val="18"/>
                <w:szCs w:val="18"/>
              </w:rPr>
              <w:t xml:space="preserve">Approved By
(Head QA)</w:t>
            </w:r>
          </w:p>
        </w:tc>
      </w:tr>
      <w:tr>
        <w:tc>
          <w:tcPr>
            <w:tcW w:type="dxa" w:w="1805"/>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tcPr>
          <w:p>
            <w:pPr>
              <w:spacing w:before="0" w:after="60"/>
            </w:pPr>
            <w:r>
              <w:rPr>
                <w:rFonts w:ascii="Arial" w:cs="Arial" w:eastAsia="Arial" w:hAnsi="Arial"/>
                <w:b/>
                <w:bCs/>
                <w:color w:val="1B2A4A"/>
                <w:sz w:val="16"/>
                <w:szCs w:val="16"/>
              </w:rPr>
              <w:t xml:space="preserve">[Designation]</w:t>
            </w:r>
          </w:p>
          <w:p>
            <w:pPr>
              <w:spacing w:before="80" w:after="0"/>
            </w:pPr>
            <w:r>
              <w:rPr>
                <w:rFonts w:ascii="Arial" w:cs="Arial" w:eastAsia="Arial" w:hAnsi="Arial"/>
                <w:color w:val="D9DCE6"/>
                <w:sz w:val="16"/>
                <w:szCs w:val="16"/>
              </w:rPr>
              <w:t xml:space="preserve">___________________________</w:t>
            </w:r>
          </w:p>
          <w:p>
            <w:pPr>
              <w:spacing w:before="40" w:after="0"/>
            </w:pPr>
            <w:r>
              <w:rPr>
                <w:rFonts w:ascii="Arial" w:cs="Arial" w:eastAsia="Arial" w:hAnsi="Arial"/>
                <w:b/>
                <w:bCs/>
                <w:sz w:val="15"/>
                <w:szCs w:val="15"/>
              </w:rPr>
              <w:t xml:space="preserve">Name: </w:t>
            </w:r>
            <w:r>
              <w:rPr>
                <w:rFonts w:ascii="Arial" w:cs="Arial" w:eastAsia="Arial" w:hAnsi="Arial"/>
                <w:color w:val="D9DCE6"/>
                <w:sz w:val="15"/>
                <w:szCs w:val="15"/>
              </w:rPr>
              <w:t xml:space="preserve">_________________</w:t>
            </w:r>
          </w:p>
          <w:p>
            <w:pPr>
              <w:spacing w:before="30" w:after="0"/>
            </w:pPr>
            <w:r>
              <w:rPr>
                <w:rFonts w:ascii="Arial" w:cs="Arial" w:eastAsia="Arial" w:hAnsi="Arial"/>
                <w:b/>
                <w:bCs/>
                <w:sz w:val="15"/>
                <w:szCs w:val="15"/>
              </w:rPr>
              <w:t xml:space="preserve">Date: </w:t>
            </w:r>
            <w:r>
              <w:rPr>
                <w:rFonts w:ascii="Arial" w:cs="Arial" w:eastAsia="Arial" w:hAnsi="Arial"/>
                <w:color w:val="D9DCE6"/>
                <w:sz w:val="15"/>
                <w:szCs w:val="15"/>
              </w:rPr>
              <w:t xml:space="preserve">_________________</w:t>
            </w:r>
          </w:p>
        </w:tc>
        <w:tc>
          <w:tcPr>
            <w:tcW w:type="dxa" w:w="1805"/>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tcPr>
          <w:p>
            <w:pPr>
              <w:spacing w:before="0" w:after="60"/>
            </w:pPr>
            <w:r>
              <w:rPr>
                <w:rFonts w:ascii="Arial" w:cs="Arial" w:eastAsia="Arial" w:hAnsi="Arial"/>
                <w:b/>
                <w:bCs/>
                <w:color w:val="1B2A4A"/>
                <w:sz w:val="16"/>
                <w:szCs w:val="16"/>
              </w:rPr>
              <w:t xml:space="preserve">Head Production</w:t>
            </w:r>
          </w:p>
          <w:p>
            <w:pPr>
              <w:spacing w:before="80" w:after="0"/>
            </w:pPr>
            <w:r>
              <w:rPr>
                <w:rFonts w:ascii="Arial" w:cs="Arial" w:eastAsia="Arial" w:hAnsi="Arial"/>
                <w:color w:val="D9DCE6"/>
                <w:sz w:val="16"/>
                <w:szCs w:val="16"/>
              </w:rPr>
              <w:t xml:space="preserve">___________________________</w:t>
            </w:r>
          </w:p>
          <w:p>
            <w:pPr>
              <w:spacing w:before="40" w:after="0"/>
            </w:pPr>
            <w:r>
              <w:rPr>
                <w:rFonts w:ascii="Arial" w:cs="Arial" w:eastAsia="Arial" w:hAnsi="Arial"/>
                <w:b/>
                <w:bCs/>
                <w:sz w:val="15"/>
                <w:szCs w:val="15"/>
              </w:rPr>
              <w:t xml:space="preserve">Name: </w:t>
            </w:r>
            <w:r>
              <w:rPr>
                <w:rFonts w:ascii="Arial" w:cs="Arial" w:eastAsia="Arial" w:hAnsi="Arial"/>
                <w:color w:val="D9DCE6"/>
                <w:sz w:val="15"/>
                <w:szCs w:val="15"/>
              </w:rPr>
              <w:t xml:space="preserve">_________________</w:t>
            </w:r>
          </w:p>
          <w:p>
            <w:pPr>
              <w:spacing w:before="30" w:after="0"/>
            </w:pPr>
            <w:r>
              <w:rPr>
                <w:rFonts w:ascii="Arial" w:cs="Arial" w:eastAsia="Arial" w:hAnsi="Arial"/>
                <w:b/>
                <w:bCs/>
                <w:sz w:val="15"/>
                <w:szCs w:val="15"/>
              </w:rPr>
              <w:t xml:space="preserve">Date: </w:t>
            </w:r>
            <w:r>
              <w:rPr>
                <w:rFonts w:ascii="Arial" w:cs="Arial" w:eastAsia="Arial" w:hAnsi="Arial"/>
                <w:color w:val="D9DCE6"/>
                <w:sz w:val="15"/>
                <w:szCs w:val="15"/>
              </w:rPr>
              <w:t xml:space="preserve">_________________</w:t>
            </w:r>
          </w:p>
        </w:tc>
        <w:tc>
          <w:tcPr>
            <w:tcW w:type="dxa" w:w="1808"/>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tcPr>
          <w:p>
            <w:pPr>
              <w:spacing w:before="0" w:after="60"/>
            </w:pPr>
            <w:r>
              <w:rPr>
                <w:rFonts w:ascii="Arial" w:cs="Arial" w:eastAsia="Arial" w:hAnsi="Arial"/>
                <w:b/>
                <w:bCs/>
                <w:color w:val="1B2A4A"/>
                <w:sz w:val="16"/>
                <w:szCs w:val="16"/>
              </w:rPr>
              <w:t xml:space="preserve">Head QC</w:t>
            </w:r>
          </w:p>
          <w:p>
            <w:pPr>
              <w:spacing w:before="80" w:after="0"/>
            </w:pPr>
            <w:r>
              <w:rPr>
                <w:rFonts w:ascii="Arial" w:cs="Arial" w:eastAsia="Arial" w:hAnsi="Arial"/>
                <w:color w:val="D9DCE6"/>
                <w:sz w:val="16"/>
                <w:szCs w:val="16"/>
              </w:rPr>
              <w:t xml:space="preserve">___________________________</w:t>
            </w:r>
          </w:p>
          <w:p>
            <w:pPr>
              <w:spacing w:before="40" w:after="0"/>
            </w:pPr>
            <w:r>
              <w:rPr>
                <w:rFonts w:ascii="Arial" w:cs="Arial" w:eastAsia="Arial" w:hAnsi="Arial"/>
                <w:b/>
                <w:bCs/>
                <w:sz w:val="15"/>
                <w:szCs w:val="15"/>
              </w:rPr>
              <w:t xml:space="preserve">Name: </w:t>
            </w:r>
            <w:r>
              <w:rPr>
                <w:rFonts w:ascii="Arial" w:cs="Arial" w:eastAsia="Arial" w:hAnsi="Arial"/>
                <w:color w:val="D9DCE6"/>
                <w:sz w:val="15"/>
                <w:szCs w:val="15"/>
              </w:rPr>
              <w:t xml:space="preserve">_________________</w:t>
            </w:r>
          </w:p>
          <w:p>
            <w:pPr>
              <w:spacing w:before="30" w:after="0"/>
            </w:pPr>
            <w:r>
              <w:rPr>
                <w:rFonts w:ascii="Arial" w:cs="Arial" w:eastAsia="Arial" w:hAnsi="Arial"/>
                <w:b/>
                <w:bCs/>
                <w:sz w:val="15"/>
                <w:szCs w:val="15"/>
              </w:rPr>
              <w:t xml:space="preserve">Date: </w:t>
            </w:r>
            <w:r>
              <w:rPr>
                <w:rFonts w:ascii="Arial" w:cs="Arial" w:eastAsia="Arial" w:hAnsi="Arial"/>
                <w:color w:val="D9DCE6"/>
                <w:sz w:val="15"/>
                <w:szCs w:val="15"/>
              </w:rPr>
              <w:t xml:space="preserve">_________________</w:t>
            </w:r>
          </w:p>
        </w:tc>
        <w:tc>
          <w:tcPr>
            <w:tcW w:type="dxa" w:w="1804"/>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tcPr>
          <w:p>
            <w:pPr>
              <w:spacing w:before="0" w:after="60"/>
            </w:pPr>
            <w:r>
              <w:rPr>
                <w:rFonts w:ascii="Arial" w:cs="Arial" w:eastAsia="Arial" w:hAnsi="Arial"/>
                <w:b/>
                <w:bCs/>
                <w:color w:val="1B2A4A"/>
                <w:sz w:val="16"/>
                <w:szCs w:val="16"/>
              </w:rPr>
              <w:t xml:space="preserve">Validation Manager</w:t>
            </w:r>
          </w:p>
          <w:p>
            <w:pPr>
              <w:spacing w:before="80" w:after="0"/>
            </w:pPr>
            <w:r>
              <w:rPr>
                <w:rFonts w:ascii="Arial" w:cs="Arial" w:eastAsia="Arial" w:hAnsi="Arial"/>
                <w:color w:val="D9DCE6"/>
                <w:sz w:val="16"/>
                <w:szCs w:val="16"/>
              </w:rPr>
              <w:t xml:space="preserve">___________________________</w:t>
            </w:r>
          </w:p>
          <w:p>
            <w:pPr>
              <w:spacing w:before="40" w:after="0"/>
            </w:pPr>
            <w:r>
              <w:rPr>
                <w:rFonts w:ascii="Arial" w:cs="Arial" w:eastAsia="Arial" w:hAnsi="Arial"/>
                <w:b/>
                <w:bCs/>
                <w:sz w:val="15"/>
                <w:szCs w:val="15"/>
              </w:rPr>
              <w:t xml:space="preserve">Name: </w:t>
            </w:r>
            <w:r>
              <w:rPr>
                <w:rFonts w:ascii="Arial" w:cs="Arial" w:eastAsia="Arial" w:hAnsi="Arial"/>
                <w:color w:val="D9DCE6"/>
                <w:sz w:val="15"/>
                <w:szCs w:val="15"/>
              </w:rPr>
              <w:t xml:space="preserve">_________________</w:t>
            </w:r>
          </w:p>
          <w:p>
            <w:pPr>
              <w:spacing w:before="30" w:after="0"/>
            </w:pPr>
            <w:r>
              <w:rPr>
                <w:rFonts w:ascii="Arial" w:cs="Arial" w:eastAsia="Arial" w:hAnsi="Arial"/>
                <w:b/>
                <w:bCs/>
                <w:sz w:val="15"/>
                <w:szCs w:val="15"/>
              </w:rPr>
              <w:t xml:space="preserve">Date: </w:t>
            </w:r>
            <w:r>
              <w:rPr>
                <w:rFonts w:ascii="Arial" w:cs="Arial" w:eastAsia="Arial" w:hAnsi="Arial"/>
                <w:color w:val="D9DCE6"/>
                <w:sz w:val="15"/>
                <w:szCs w:val="15"/>
              </w:rPr>
              <w:t xml:space="preserve">_________________</w:t>
            </w:r>
          </w:p>
        </w:tc>
        <w:tc>
          <w:tcPr>
            <w:tcW w:type="dxa" w:w="1804"/>
            <w:tcBorders>
              <w:top w:val="single" w:color="B0B8CC" w:sz="4"/>
              <w:left w:val="single" w:color="B0B8CC" w:sz="4"/>
              <w:bottom w:val="single" w:color="B0B8CC" w:sz="4"/>
              <w:right w:val="single" w:color="B0B8CC" w:sz="4"/>
            </w:tcBorders>
            <w:shd w:fill="F4F6FA" w:val="clear"/>
            <w:tcMar>
              <w:top w:type="dxa" w:w="80"/>
              <w:left w:type="dxa" w:w="140"/>
              <w:bottom w:type="dxa" w:w="80"/>
              <w:right w:type="dxa" w:w="140"/>
            </w:tcMar>
          </w:tcPr>
          <w:p>
            <w:pPr>
              <w:spacing w:before="0" w:after="60"/>
            </w:pPr>
            <w:r>
              <w:rPr>
                <w:rFonts w:ascii="Arial" w:cs="Arial" w:eastAsia="Arial" w:hAnsi="Arial"/>
                <w:b/>
                <w:bCs/>
                <w:color w:val="1B2A4A"/>
                <w:sz w:val="16"/>
                <w:szCs w:val="16"/>
              </w:rPr>
              <w:t xml:space="preserve">Head Quality Assurance</w:t>
            </w:r>
          </w:p>
          <w:p>
            <w:pPr>
              <w:spacing w:before="80" w:after="0"/>
            </w:pPr>
            <w:r>
              <w:rPr>
                <w:rFonts w:ascii="Arial" w:cs="Arial" w:eastAsia="Arial" w:hAnsi="Arial"/>
                <w:color w:val="D9DCE6"/>
                <w:sz w:val="16"/>
                <w:szCs w:val="16"/>
              </w:rPr>
              <w:t xml:space="preserve">___________________________</w:t>
            </w:r>
          </w:p>
          <w:p>
            <w:pPr>
              <w:spacing w:before="40" w:after="0"/>
            </w:pPr>
            <w:r>
              <w:rPr>
                <w:rFonts w:ascii="Arial" w:cs="Arial" w:eastAsia="Arial" w:hAnsi="Arial"/>
                <w:b/>
                <w:bCs/>
                <w:sz w:val="15"/>
                <w:szCs w:val="15"/>
              </w:rPr>
              <w:t xml:space="preserve">Name: </w:t>
            </w:r>
            <w:r>
              <w:rPr>
                <w:rFonts w:ascii="Arial" w:cs="Arial" w:eastAsia="Arial" w:hAnsi="Arial"/>
                <w:color w:val="D9DCE6"/>
                <w:sz w:val="15"/>
                <w:szCs w:val="15"/>
              </w:rPr>
              <w:t xml:space="preserve">_________________</w:t>
            </w:r>
          </w:p>
          <w:p>
            <w:pPr>
              <w:spacing w:before="30" w:after="0"/>
            </w:pPr>
            <w:r>
              <w:rPr>
                <w:rFonts w:ascii="Arial" w:cs="Arial" w:eastAsia="Arial" w:hAnsi="Arial"/>
                <w:b/>
                <w:bCs/>
                <w:sz w:val="15"/>
                <w:szCs w:val="15"/>
              </w:rPr>
              <w:t xml:space="preserve">Date: </w:t>
            </w:r>
            <w:r>
              <w:rPr>
                <w:rFonts w:ascii="Arial" w:cs="Arial" w:eastAsia="Arial" w:hAnsi="Arial"/>
                <w:color w:val="D9DCE6"/>
                <w:sz w:val="15"/>
                <w:szCs w:val="15"/>
              </w:rPr>
              <w:t xml:space="preserve">_________________</w:t>
            </w:r>
          </w:p>
        </w:tc>
      </w:tr>
    </w:tbl>
    <w:p>
      <w:pPr>
        <w:spacing w:before="0" w:after="0"/>
      </w:pPr>
      <w:r>
        <w:rPr>
          <w:sz w:val="18"/>
          <w:szCs w:val="18"/>
        </w:rP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0"/>
        <w:gridCol w:w="8126"/>
      </w:tblGrid>
      <w:tr>
        <w:tc>
          <w:tcPr>
            <w:tcW w:type="dxa" w:w="900"/>
            <w:tcBorders>
              <w:top w:val="single" w:color="1B2A4A" w:sz="4"/>
              <w:left w:val="single" w:color="1B2A4A" w:sz="4"/>
              <w:bottom w:val="single" w:color="1B2A4A" w:sz="4"/>
              <w:right w:val="single" w:color="1B2A4A" w:sz="4"/>
            </w:tcBorders>
            <w:shd w:fill="F4F6FA" w:val="clear"/>
            <w:tcMar>
              <w:top w:type="dxa" w:w="80"/>
              <w:left w:type="dxa" w:w="100"/>
              <w:bottom w:type="dxa" w:w="80"/>
              <w:right w:type="dxa" w:w="100"/>
            </w:tcMar>
            <w:vAlign w:val="center"/>
          </w:tcPr>
          <w:p>
            <w:pPr>
              <w:jc w:val="center"/>
            </w:pPr>
            <w:r>
              <w:rPr>
                <w:rFonts w:ascii="Arial" w:cs="Arial" w:eastAsia="Arial" w:hAnsi="Arial"/>
                <w:b/>
                <w:bCs/>
                <w:color w:val="1B2A4A"/>
                <w:sz w:val="18"/>
                <w:szCs w:val="18"/>
              </w:rPr>
              <w:t xml:space="preserve">CONTROLLED</w:t>
            </w:r>
          </w:p>
        </w:tc>
        <w:tc>
          <w:tcPr>
            <w:tcW w:type="dxa" w:w="8126"/>
            <w:tcBorders>
              <w:top w:val="single" w:color="1B2A4A" w:sz="4"/>
              <w:left w:val="single" w:color="1B2A4A" w:sz="4"/>
              <w:bottom w:val="single" w:color="1B2A4A" w:sz="4"/>
              <w:right w:val="single" w:color="1B2A4A" w:sz="4"/>
            </w:tcBorders>
            <w:shd w:fill="F4F6FA" w:val="clear"/>
            <w:tcMar>
              <w:top w:type="dxa" w:w="80"/>
              <w:left w:type="dxa" w:w="140"/>
              <w:bottom w:type="dxa" w:w="80"/>
              <w:right w:type="dxa" w:w="140"/>
            </w:tcMar>
          </w:tcPr>
          <w:p>
            <w:r>
              <w:rPr>
                <w:rFonts w:ascii="Arial" w:cs="Arial" w:eastAsia="Arial" w:hAnsi="Arial"/>
                <w:i/>
                <w:iCs/>
                <w:sz w:val="18"/>
                <w:szCs w:val="18"/>
              </w:rPr>
              <w:t xml:space="preserve">This SOP and the BMR template derived from it are controlled documents under the site Quality Management System. Printed copies are uncontrolled. Always obtain the current version from the QMS before use. Unauthorised modification of this document is prohibited. © schedulem.in — for internal pharmaceutical GMP compliance use only, aligned to Schedule M (G.S.R.227(E)/2023).</w:t>
            </w:r>
          </w:p>
        </w:tc>
      </w:tr>
    </w:tbl>
    <w:sectPr>
      <w:headerReference w:type="default" r:id="rId6"/>
      <w:footerReference w:type="default" r:id="rId7"/>
      <w:pgSz w:w="11906" w:h="16838" w:orient="portrait"/>
      <w:pgMar w:top="1080" w:right="1000" w:bottom="1080" w:left="100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3A72C9" w:sz="6" w:space="4"/>
      </w:pBdr>
      <w:tabs>
        <w:tab w:val="center" w:pos="4513"/>
        <w:tab w:val="right" w:pos="9026"/>
      </w:tabs>
      <w:spacing w:before="80"/>
    </w:pPr>
    <w:r>
      <w:rPr>
        <w:rFonts w:ascii="Arial" w:cs="Arial" w:eastAsia="Arial" w:hAnsi="Arial"/>
        <w:color w:val="2E4D8A"/>
        <w:sz w:val="14"/>
        <w:szCs w:val="14"/>
      </w:rPr>
      <w:t xml:space="preserve">Schedule M Cl. 5.2 (G.S.R.227(E)/2023)  |  CONFIDENTIAL</w:t>
    </w:r>
    <w:r>
      <w:rPr>
        <w:rFonts w:ascii="Arial" w:cs="Arial" w:eastAsia="Arial" w:hAnsi="Arial"/>
        <w:color w:val="2E4D8A"/>
        <w:sz w:val="14"/>
        <w:szCs w:val="14"/>
      </w:rPr>
      <w:t xml:space="preserve">	© schedulem.in  |  Controlled Document</w:t>
    </w:r>
    <w:r>
      <w:rPr>
        <w:rFonts w:ascii="Arial" w:cs="Arial" w:eastAsia="Arial" w:hAnsi="Arial"/>
        <w:color w:val="2E4D8A"/>
        <w:sz w:val="14"/>
        <w:szCs w:val="14"/>
      </w:rPr>
      <w:t xml:space="preserve">	Page </w:t>
    </w:r>
    <w:r>
      <w:rPr>
        <w:rFonts w:ascii="Arial" w:cs="Arial" w:eastAsia="Arial" w:hAnsi="Arial"/>
        <w:color w:val="2E4D8A"/>
        <w:sz w:val="14"/>
        <w:szCs w:val="14"/>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5800"/>
      <w:gridCol w:w="3226"/>
    </w:tblGrid>
    <w:tr>
      <w:tc>
        <w:tcPr>
          <w:tcW w:type="dxa" w:w="5800"/>
          <w:tcBorders>
            <w:top w:val="nil"/>
            <w:left w:val="nil"/>
            <w:bottom w:val="nil"/>
            <w:right w:val="nil"/>
          </w:tcBorders>
          <w:shd w:fill="1B2A4A" w:val="clear"/>
          <w:tcMar>
            <w:top w:type="dxa" w:w="80"/>
            <w:left w:type="dxa" w:w="160"/>
            <w:bottom w:type="dxa" w:w="80"/>
            <w:right w:type="dxa" w:w="100"/>
          </w:tcMar>
        </w:tcPr>
        <w:p>
          <w:r>
            <w:rPr>
              <w:rFonts w:ascii="Arial" w:cs="Arial" w:eastAsia="Arial" w:hAnsi="Arial"/>
              <w:b/>
              <w:bCs/>
              <w:color w:val="FF9933"/>
              <w:sz w:val="20"/>
              <w:szCs w:val="20"/>
            </w:rPr>
            <w:t xml:space="preserve">schedulem.in</w:t>
          </w:r>
        </w:p>
        <w:p>
          <w:r>
            <w:rPr>
              <w:rFonts w:ascii="Arial" w:cs="Arial" w:eastAsia="Arial" w:hAnsi="Arial"/>
              <w:color w:val="A8C4E8"/>
              <w:sz w:val="16"/>
              <w:szCs w:val="16"/>
            </w:rPr>
            <w:t xml:space="preserve">Standard Operating Procedure — Batch Manufacturing Record (BMR)</w:t>
          </w:r>
        </w:p>
      </w:tc>
      <w:tc>
        <w:tcPr>
          <w:tcW w:type="dxa" w:w="3226"/>
          <w:tcBorders>
            <w:top w:val="nil"/>
            <w:left w:val="nil"/>
            <w:bottom w:val="nil"/>
            <w:right w:val="nil"/>
          </w:tcBorders>
          <w:shd w:fill="1B2A4A" w:val="clear"/>
          <w:tcMar>
            <w:top w:type="dxa" w:w="80"/>
            <w:left w:type="dxa" w:w="100"/>
            <w:bottom w:type="dxa" w:w="80"/>
            <w:right w:type="dxa" w:w="160"/>
          </w:tcMar>
          <w:vAlign w:val="center"/>
        </w:tcPr>
        <w:p>
          <w:pPr>
            <w:jc w:val="right"/>
          </w:pPr>
          <w:r>
            <w:rPr>
              <w:rFonts w:ascii="Arial" w:cs="Arial" w:eastAsia="Arial" w:hAnsi="Arial"/>
              <w:color w:val="A8C4E8"/>
              <w:sz w:val="16"/>
              <w:szCs w:val="16"/>
            </w:rPr>
            <w:t xml:space="preserve">SOP No: [SOP-BMR-XXX-001]</w:t>
          </w:r>
        </w:p>
        <w:p>
          <w:pPr>
            <w:jc w:val="right"/>
          </w:pPr>
          <w:r>
            <w:rPr>
              <w:rFonts w:ascii="Arial" w:cs="Arial" w:eastAsia="Arial" w:hAnsi="Arial"/>
              <w:color w:val="A8C4E8"/>
              <w:sz w:val="16"/>
              <w:szCs w:val="16"/>
            </w:rPr>
            <w:t xml:space="preserve">Rev: 01  |  Effective: [DD-MMM-YYYY]</w:t>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60" w:hanging="280"/>
      </w:pPr>
    </w:lvl>
    <w:lvl w:ilvl="1" w15:tentative="1">
      <w:start w:val="1"/>
      <w:numFmt w:val="bullet"/>
      <w:lvlText w:val="◦"/>
      <w:lvlJc w:val="left"/>
      <w:pPr>
        <w:ind w:left="1120" w:hanging="280"/>
      </w:pPr>
    </w:lvl>
  </w:abstractNum>
  <w:abstractNum w:abstractNumId="3" w15:restartNumberingAfterBreak="0">
    <w:multiLevelType w:val="hybridMultilevel"/>
    <w:lvl w:ilvl="0" w15:tentative="1">
      <w:start w:val="1"/>
      <w:numFmt w:val="decimal"/>
      <w:lvlText w:val="%1."/>
      <w:lvlJc w:val="left"/>
      <w:pPr>
        <w:spacing w:before="60" w:after="60"/>
        <w:ind w:left="560" w:hanging="280"/>
      </w:pPr>
    </w:lvl>
    <w:lvl w:ilvl="1" w15:tentative="1">
      <w:start w:val="1"/>
      <w:numFmt w:val="lowerLetter"/>
      <w:lvlText w:val="%2."/>
      <w:lvlJc w:val="left"/>
      <w:pPr>
        <w:spacing w:before="40" w:after="40"/>
        <w:ind w:left="1120" w:hanging="28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18"/>
        <w:szCs w:val="18"/>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300" w:after="120"/>
      <w:outlineLvl w:val="0"/>
    </w:pPr>
    <w:rPr>
      <w:rFonts w:ascii="Arial" w:cs="Arial" w:eastAsia="Arial" w:hAnsi="Arial"/>
      <w:b/>
      <w:bCs/>
      <w:color w:val="1B2A4A"/>
      <w:sz w:val="28"/>
      <w:szCs w:val="28"/>
    </w:rPr>
  </w:style>
  <w:style w:type="paragraph" w:styleId="Heading2">
    <w:name w:val="Heading 2"/>
    <w:basedOn w:val="Normal"/>
    <w:next w:val="Normal"/>
    <w:qFormat/>
    <w:pPr>
      <w:spacing w:before="200" w:after="80"/>
      <w:outlineLvl w:val="1"/>
    </w:pPr>
    <w:rPr>
      <w:rFonts w:ascii="Arial" w:cs="Arial" w:eastAsia="Arial" w:hAnsi="Arial"/>
      <w:b/>
      <w:bCs/>
      <w:color w:val="2E4D8A"/>
      <w:sz w:val="22"/>
      <w:szCs w:val="22"/>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2026-03-08T19:30:11.183Z</dcterms:created>
  <dcterms:modified xsi:type="dcterms:W3CDTF">2026-03-08T19:30:11.185Z</dcterms:modified>
</cp:coreProperties>
</file>

<file path=docProps/custom.xml><?xml version="1.0" encoding="utf-8"?>
<Properties xmlns="http://schemas.openxmlformats.org/officeDocument/2006/custom-properties" xmlns:vt="http://schemas.openxmlformats.org/officeDocument/2006/docPropsVTypes"/>
</file>