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il"/>
              <w:left w:val="nil"/>
              <w:bottom w:val="nil"/>
              <w:right w:val="nil"/>
            </w:tcBorders>
            <w:shd w:fill="1B2A4A" w:val="clear"/>
            <w:tcMar>
              <w:top w:type="dxa" w:w="160"/>
              <w:left w:type="dxa" w:w="240"/>
              <w:bottom w:type="dxa" w:w="40"/>
              <w:right w:type="dxa" w:w="240"/>
            </w:tcMar>
          </w:tcPr>
          <w:p>
            <w:pPr>
              <w:jc w:val="center"/>
            </w:pPr>
            <w:r>
              <w:rPr>
                <w:rFonts w:ascii="Arial" w:cs="Arial" w:eastAsia="Arial" w:hAnsi="Arial"/>
                <w:b/>
                <w:bCs/>
                <w:color w:val="FF9933"/>
                <w:sz w:val="28"/>
                <w:szCs w:val="28"/>
              </w:rPr>
              <w:t xml:space="preserve">STANDARD OPERATING PROCEDURE</w:t>
            </w:r>
          </w:p>
          <w:p>
            <w:pPr>
              <w:jc w:val="center"/>
            </w:pPr>
            <w:r>
              <w:rPr>
                <w:rFonts w:ascii="Arial" w:cs="Arial" w:eastAsia="Arial" w:hAnsi="Arial"/>
                <w:b/>
                <w:bCs/>
                <w:color w:val="FFFFFF"/>
                <w:sz w:val="36"/>
                <w:szCs w:val="36"/>
              </w:rPr>
              <w:t xml:space="preserve">Equipment Cleaning — Production &amp; QC Laboratory</w:t>
            </w:r>
          </w:p>
          <w:p>
            <w:pPr>
              <w:jc w:val="center"/>
            </w:pPr>
            <w:r>
              <w:rPr>
                <w:rFonts w:ascii="Arial" w:cs="Arial" w:eastAsia="Arial" w:hAnsi="Arial"/>
                <w:i/>
                <w:iCs/>
                <w:color w:val="A8C4E8"/>
                <w:sz w:val="20"/>
                <w:szCs w:val="20"/>
              </w:rPr>
              <w:t xml:space="preserve">Cleaning Validation Requirements per Revised Schedule M</w:t>
            </w:r>
          </w:p>
        </w:tc>
      </w:tr>
    </w:tbl>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il"/>
              <w:left w:val="nil"/>
              <w:bottom w:val="nil"/>
              <w:right w:val="nil"/>
            </w:tcBorders>
            <w:shd w:fill="FF9933" w:val="clear"/>
            <w:tcMar>
              <w:top w:type="dxa" w:w="60"/>
              <w:left w:type="dxa" w:w="240"/>
              <w:bottom w:type="dxa" w:w="60"/>
              <w:right w:type="dxa" w:w="240"/>
            </w:tcMar>
          </w:tcPr>
          <w:p>
            <w:pPr>
              <w:jc w:val="center"/>
            </w:pPr>
            <w:r>
              <w:rPr>
                <w:rFonts w:ascii="Arial" w:cs="Arial" w:eastAsia="Arial" w:hAnsi="Arial"/>
                <w:b/>
                <w:bCs/>
                <w:color w:val="1B2A4A"/>
                <w:sz w:val="17"/>
                <w:szCs w:val="17"/>
              </w:rPr>
              <w:t xml:space="preserve">Ministry of Health &amp; Family Welfare, Govt. of India  |  Drugs &amp; Cosmetics Rules 1945  |  Schedule M (G.S.R.227(E)/2023)</w:t>
            </w:r>
          </w:p>
        </w:tc>
      </w:tr>
    </w:tbl>
    <w:p>
      <w:pPr>
        <w:spacing w:before="0" w:after="0"/>
      </w:pPr>
      <w:r>
        <w:rPr>
          <w:sz w:val="18"/>
          <w:szCs w:val="18"/>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00"/>
        <w:gridCol w:w="2313"/>
        <w:gridCol w:w="2200"/>
        <w:gridCol w:w="2313"/>
      </w:tblGrid>
      <w:tr>
        <w:tc>
          <w:tcPr>
            <w:tcW w:type="dxa" w:w="22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SOP Number:</w:t>
            </w:r>
          </w:p>
        </w:tc>
        <w:tc>
          <w:tcPr>
            <w:tcW w:type="dxa" w:w="23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tcPr>
          <w:p>
            <w:r>
              <w:rPr>
                <w:rFonts w:ascii="Arial" w:cs="Arial" w:eastAsia="Arial" w:hAnsi="Arial"/>
                <w:sz w:val="18"/>
                <w:szCs w:val="18"/>
              </w:rPr>
              <w:t xml:space="preserve">[SOP-CLN-XXX-001]</w:t>
            </w:r>
          </w:p>
        </w:tc>
        <w:tc>
          <w:tcPr>
            <w:tcW w:type="dxa" w:w="22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Version / Revision:</w:t>
            </w:r>
          </w:p>
        </w:tc>
        <w:tc>
          <w:tcPr>
            <w:tcW w:type="dxa" w:w="23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tcPr>
          <w:p>
            <w:r>
              <w:rPr>
                <w:rFonts w:ascii="Arial" w:cs="Arial" w:eastAsia="Arial" w:hAnsi="Arial"/>
                <w:sz w:val="18"/>
                <w:szCs w:val="18"/>
              </w:rPr>
              <w:t xml:space="preserve">01 / 00</w:t>
            </w:r>
          </w:p>
        </w:tc>
      </w:tr>
      <w:tr>
        <w:tc>
          <w:tcPr>
            <w:tcW w:type="dxa" w:w="22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Title:</w:t>
            </w:r>
          </w:p>
        </w:tc>
        <w:tc>
          <w:tcPr>
            <w:tcW w:type="dxa" w:w="23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tcPr>
          <w:p>
            <w:r>
              <w:rPr>
                <w:rFonts w:ascii="Arial" w:cs="Arial" w:eastAsia="Arial" w:hAnsi="Arial"/>
                <w:sz w:val="18"/>
                <w:szCs w:val="18"/>
              </w:rPr>
              <w:t xml:space="preserve">Equipment Cleaning — Production &amp; QC Laboratory</w:t>
            </w:r>
          </w:p>
        </w:tc>
        <w:tc>
          <w:tcPr>
            <w:tcW w:type="dxa" w:w="22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Effective Date:</w:t>
            </w:r>
          </w:p>
        </w:tc>
        <w:tc>
          <w:tcPr>
            <w:tcW w:type="dxa" w:w="23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tcPr>
          <w:p>
            <w:r>
              <w:rPr>
                <w:rFonts w:ascii="Arial" w:cs="Arial" w:eastAsia="Arial" w:hAnsi="Arial"/>
                <w:sz w:val="18"/>
                <w:szCs w:val="18"/>
              </w:rPr>
              <w:t xml:space="preserve">[DD-MMM-YYYY]</w:t>
            </w:r>
          </w:p>
        </w:tc>
      </w:tr>
      <w:tr>
        <w:tc>
          <w:tcPr>
            <w:tcW w:type="dxa" w:w="22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Department:</w:t>
            </w:r>
          </w:p>
        </w:tc>
        <w:tc>
          <w:tcPr>
            <w:tcW w:type="dxa" w:w="23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tcPr>
          <w:p>
            <w:r>
              <w:rPr>
                <w:rFonts w:ascii="Arial" w:cs="Arial" w:eastAsia="Arial" w:hAnsi="Arial"/>
                <w:sz w:val="18"/>
                <w:szCs w:val="18"/>
              </w:rPr>
              <w:t xml:space="preserve">[Production / QC / Engineering]</w:t>
            </w:r>
          </w:p>
        </w:tc>
        <w:tc>
          <w:tcPr>
            <w:tcW w:type="dxa" w:w="22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Review Due:</w:t>
            </w:r>
          </w:p>
        </w:tc>
        <w:tc>
          <w:tcPr>
            <w:tcW w:type="dxa" w:w="23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tcPr>
          <w:p>
            <w:r>
              <w:rPr>
                <w:rFonts w:ascii="Arial" w:cs="Arial" w:eastAsia="Arial" w:hAnsi="Arial"/>
                <w:sz w:val="18"/>
                <w:szCs w:val="18"/>
              </w:rPr>
              <w:t xml:space="preserve">[DD-MMM-YYYY] (3 Years)</w:t>
            </w:r>
          </w:p>
        </w:tc>
      </w:tr>
      <w:tr>
        <w:tc>
          <w:tcPr>
            <w:tcW w:type="dxa" w:w="22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Site / Facility:</w:t>
            </w:r>
          </w:p>
        </w:tc>
        <w:tc>
          <w:tcPr>
            <w:tcW w:type="dxa" w:w="23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tcPr>
          <w:p>
            <w:r>
              <w:rPr>
                <w:rFonts w:ascii="Arial" w:cs="Arial" w:eastAsia="Arial" w:hAnsi="Arial"/>
                <w:sz w:val="18"/>
                <w:szCs w:val="18"/>
              </w:rPr>
              <w:t xml:space="preserve">[Site Name &amp; Address]</w:t>
            </w:r>
          </w:p>
        </w:tc>
        <w:tc>
          <w:tcPr>
            <w:tcW w:type="dxa" w:w="22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Schedule M Clause:</w:t>
            </w:r>
          </w:p>
        </w:tc>
        <w:tc>
          <w:tcPr>
            <w:tcW w:type="dxa" w:w="23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tcPr>
          <w:p>
            <w:r>
              <w:rPr>
                <w:rFonts w:ascii="Arial" w:cs="Arial" w:eastAsia="Arial" w:hAnsi="Arial"/>
                <w:sz w:val="18"/>
                <w:szCs w:val="18"/>
              </w:rPr>
              <w:t xml:space="preserve">Clauses 6.2, 6.3 &amp; Cleaning Validation Annex</w:t>
            </w:r>
          </w:p>
        </w:tc>
      </w:tr>
      <w:tr>
        <w:tc>
          <w:tcPr>
            <w:tcW w:type="dxa" w:w="22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Prepared By:</w:t>
            </w:r>
          </w:p>
        </w:tc>
        <w:tc>
          <w:tcPr>
            <w:tcW w:type="dxa" w:w="23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tcPr>
          <w:p>
            <w:r>
              <w:rPr>
                <w:rFonts w:ascii="Arial" w:cs="Arial" w:eastAsia="Arial" w:hAnsi="Arial"/>
                <w:sz w:val="18"/>
                <w:szCs w:val="18"/>
              </w:rPr>
              <w:t xml:space="preserve">[Name, Designation, Date]</w:t>
            </w:r>
          </w:p>
        </w:tc>
        <w:tc>
          <w:tcPr>
            <w:tcW w:type="dxa" w:w="22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Classification:</w:t>
            </w:r>
          </w:p>
        </w:tc>
        <w:tc>
          <w:tcPr>
            <w:tcW w:type="dxa" w:w="23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tcPr>
          <w:p>
            <w:r>
              <w:rPr>
                <w:rFonts w:ascii="Arial" w:cs="Arial" w:eastAsia="Arial" w:hAnsi="Arial"/>
                <w:sz w:val="18"/>
                <w:szCs w:val="18"/>
              </w:rPr>
              <w:t xml:space="preserve">CONTROLLED DOCUMENT — CONFIDENTIAL</w:t>
            </w:r>
          </w:p>
        </w:tc>
      </w:tr>
      <w:tr>
        <w:tc>
          <w:tcPr>
            <w:tcW w:type="dxa" w:w="22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Reviewed By:</w:t>
            </w:r>
          </w:p>
        </w:tc>
        <w:tc>
          <w:tcPr>
            <w:tcW w:type="dxa" w:w="23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tcPr>
          <w:p>
            <w:r>
              <w:rPr>
                <w:rFonts w:ascii="Arial" w:cs="Arial" w:eastAsia="Arial" w:hAnsi="Arial"/>
                <w:sz w:val="18"/>
                <w:szCs w:val="18"/>
              </w:rPr>
              <w:t xml:space="preserve">[Head Production / Head QC, Date]</w:t>
            </w:r>
          </w:p>
        </w:tc>
        <w:tc>
          <w:tcPr>
            <w:tcW w:type="dxa" w:w="22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Supersedes:</w:t>
            </w:r>
          </w:p>
        </w:tc>
        <w:tc>
          <w:tcPr>
            <w:tcW w:type="dxa" w:w="23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tcPr>
          <w:p>
            <w:r>
              <w:rPr>
                <w:rFonts w:ascii="Arial" w:cs="Arial" w:eastAsia="Arial" w:hAnsi="Arial"/>
                <w:sz w:val="18"/>
                <w:szCs w:val="18"/>
              </w:rPr>
              <w:t xml:space="preserve">N/A (New Document)</w:t>
            </w:r>
          </w:p>
        </w:tc>
      </w:tr>
      <w:tr>
        <w:tc>
          <w:tcPr>
            <w:tcW w:type="dxa" w:w="22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Approved By:</w:t>
            </w:r>
          </w:p>
        </w:tc>
        <w:tc>
          <w:tcPr>
            <w:tcW w:type="dxa" w:w="23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tcPr>
          <w:p>
            <w:r>
              <w:rPr>
                <w:rFonts w:ascii="Arial" w:cs="Arial" w:eastAsia="Arial" w:hAnsi="Arial"/>
                <w:sz w:val="18"/>
                <w:szCs w:val="18"/>
              </w:rPr>
              <w:t xml:space="preserve">[Head QA, Signature, Date]</w:t>
            </w:r>
          </w:p>
        </w:tc>
        <w:tc>
          <w:tcPr>
            <w:tcW w:type="dxa" w:w="22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Distribution:</w:t>
            </w:r>
          </w:p>
        </w:tc>
        <w:tc>
          <w:tcPr>
            <w:tcW w:type="dxa" w:w="23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tcPr>
          <w:p>
            <w:r>
              <w:rPr>
                <w:rFonts w:ascii="Arial" w:cs="Arial" w:eastAsia="Arial" w:hAnsi="Arial"/>
                <w:sz w:val="18"/>
                <w:szCs w:val="18"/>
              </w:rPr>
              <w:t xml:space="preserve">Production, QC, Engineering, QA, Validation</w:t>
            </w:r>
          </w:p>
        </w:tc>
      </w:tr>
    </w:tbl>
    <w:p>
      <w:pPr>
        <w:spacing w:before="0" w:after="0"/>
      </w:pPr>
      <w:r>
        <w:rPr>
          <w:sz w:val="18"/>
          <w:szCs w:val="18"/>
        </w:rPr>
        <w:t xml:space="preserve"/>
      </w:r>
    </w:p>
    <w:p>
      <w:pPr>
        <w:pStyle w:val="Heading1"/>
        <w:pBdr>
          <w:bottom w:val="single" w:color="3A72C9" w:sz="6" w:space="4"/>
        </w:pBdr>
        <w:spacing w:before="280" w:after="120"/>
      </w:pPr>
      <w:r>
        <w:rPr>
          <w:rFonts w:ascii="Arial" w:cs="Arial" w:eastAsia="Arial" w:hAnsi="Arial"/>
          <w:b/>
          <w:bCs/>
          <w:color w:val="1B2A4A"/>
          <w:sz w:val="28"/>
          <w:szCs w:val="28"/>
        </w:rPr>
        <w:t xml:space="preserve">1. REVISION HISTORY</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700"/>
        <w:gridCol w:w="1200"/>
        <w:gridCol w:w="1200"/>
        <w:gridCol w:w="1600"/>
        <w:gridCol w:w="4326"/>
      </w:tblGrid>
      <w:tr>
        <w:trPr>
          <w:tblHeader/>
        </w:trPr>
        <w:tc>
          <w:tcPr>
            <w:tcW w:type="dxa" w:w="7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Rev.</w:t>
            </w:r>
          </w:p>
        </w:tc>
        <w:tc>
          <w:tcPr>
            <w:tcW w:type="dxa" w:w="12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Date</w:t>
            </w:r>
          </w:p>
        </w:tc>
        <w:tc>
          <w:tcPr>
            <w:tcW w:type="dxa" w:w="12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Section(s)</w:t>
            </w:r>
          </w:p>
        </w:tc>
        <w:tc>
          <w:tcPr>
            <w:tcW w:type="dxa" w:w="16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Reason for Change</w:t>
            </w:r>
          </w:p>
        </w:tc>
        <w:tc>
          <w:tcPr>
            <w:tcW w:type="dxa" w:w="4326"/>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Approved By</w:t>
            </w:r>
          </w:p>
        </w:tc>
      </w:tr>
      <w:tr>
        <w:tc>
          <w:tcPr>
            <w:tcW w:type="dxa" w:w="7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00</w:t>
            </w:r>
          </w:p>
        </w:tc>
        <w:tc>
          <w:tcPr>
            <w:tcW w:type="dxa" w:w="1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[DD-MMM-YYYY]</w:t>
            </w:r>
          </w:p>
        </w:tc>
        <w:tc>
          <w:tcPr>
            <w:tcW w:type="dxa" w:w="1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All</w:t>
            </w:r>
          </w:p>
        </w:tc>
        <w:tc>
          <w:tcPr>
            <w:tcW w:type="dxa" w:w="1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New SOP — Revised Schedule M (G.S.R.227(E)/2023) Compliance</w:t>
            </w:r>
          </w:p>
        </w:tc>
        <w:tc>
          <w:tcPr>
            <w:tcW w:type="dxa" w:w="43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[Head QA Name, Signature]</w:t>
            </w:r>
          </w:p>
        </w:tc>
      </w:tr>
      <w:tr>
        <w:tc>
          <w:tcPr>
            <w:tcW w:type="dxa" w:w="7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01</w:t>
            </w:r>
          </w:p>
        </w:tc>
        <w:tc>
          <w:tcPr>
            <w:tcW w:type="dxa" w:w="1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43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r>
    </w:tbl>
    <w:p>
      <w:pPr>
        <w:spacing w:before="0" w:after="0"/>
      </w:pPr>
      <w:r>
        <w:rPr>
          <w:sz w:val="18"/>
          <w:szCs w:val="18"/>
        </w:rPr>
        <w:t xml:space="preserve"/>
      </w:r>
    </w:p>
    <w:p>
      <w:pPr>
        <w:pStyle w:val="Heading1"/>
        <w:pBdr>
          <w:bottom w:val="single" w:color="3A72C9" w:sz="6" w:space="4"/>
        </w:pBdr>
        <w:spacing w:before="280" w:after="120"/>
      </w:pPr>
      <w:r>
        <w:rPr>
          <w:rFonts w:ascii="Arial" w:cs="Arial" w:eastAsia="Arial" w:hAnsi="Arial"/>
          <w:b/>
          <w:bCs/>
          <w:color w:val="1B2A4A"/>
          <w:sz w:val="28"/>
          <w:szCs w:val="28"/>
        </w:rPr>
        <w:t xml:space="preserve">2. PURPOSE</w:t>
      </w:r>
    </w:p>
    <w:p>
      <w:pPr>
        <w:spacing w:before="60" w:after="60"/>
      </w:pPr>
      <w:r>
        <w:rPr>
          <w:rFonts w:ascii="Arial" w:cs="Arial" w:eastAsia="Arial" w:hAnsi="Arial"/>
          <w:sz w:val="18"/>
          <w:szCs w:val="18"/>
        </w:rPr>
        <w:t xml:space="preserve">This Standard Operating Procedure (SOP) establishes a uniform, validated approach to the cleaning of manufacturing equipment, process vessels, piping systems, and Quality Control laboratory apparatus at [Site Name]. It ensures:</w:t>
      </w:r>
    </w:p>
    <w:p>
      <w:pPr>
        <w:pStyle w:val="ListParagraph"/>
        <w:numPr>
          <w:ilvl w:val="0"/>
          <w:numId w:val="2"/>
        </w:numPr>
        <w:spacing w:before="40" w:after="40"/>
      </w:pPr>
      <w:r>
        <w:rPr>
          <w:rFonts w:ascii="Arial" w:cs="Arial" w:eastAsia="Arial" w:hAnsi="Arial"/>
          <w:sz w:val="18"/>
          <w:szCs w:val="18"/>
        </w:rPr>
        <w:t xml:space="preserve">Removal of product residues, cleaning agent residues, and microbial contamination to levels that do not pose a risk to subsequent products, operators, or the environment.</w:t>
      </w:r>
    </w:p>
    <w:p>
      <w:pPr>
        <w:pStyle w:val="ListParagraph"/>
        <w:numPr>
          <w:ilvl w:val="0"/>
          <w:numId w:val="2"/>
        </w:numPr>
        <w:spacing w:before="40" w:after="40"/>
      </w:pPr>
      <w:r>
        <w:rPr>
          <w:rFonts w:ascii="Arial" w:cs="Arial" w:eastAsia="Arial" w:hAnsi="Arial"/>
          <w:sz w:val="18"/>
          <w:szCs w:val="18"/>
        </w:rPr>
        <w:t xml:space="preserve">Full compliance with Schedule M (Drugs &amp; Cosmetics Rules 1945, as amended by G.S.R.227(E) dated 28 March 2023), including the cleaning validation requirements applicable to shared equipment.</w:t>
      </w:r>
    </w:p>
    <w:p>
      <w:pPr>
        <w:pStyle w:val="ListParagraph"/>
        <w:numPr>
          <w:ilvl w:val="0"/>
          <w:numId w:val="2"/>
        </w:numPr>
        <w:spacing w:before="40" w:after="40"/>
      </w:pPr>
      <w:r>
        <w:rPr>
          <w:rFonts w:ascii="Arial" w:cs="Arial" w:eastAsia="Arial" w:hAnsi="Arial"/>
          <w:sz w:val="18"/>
          <w:szCs w:val="18"/>
        </w:rPr>
        <w:t xml:space="preserve">Alignment with ICH Q7 (Active Pharmaceutical Ingredients), WHO TRS 937 Annex 4 (Cleaning Validation), and EU GMP Chapter 3 &amp; Annex 15.</w:t>
      </w:r>
    </w:p>
    <w:p>
      <w:pPr>
        <w:pStyle w:val="ListParagraph"/>
        <w:numPr>
          <w:ilvl w:val="0"/>
          <w:numId w:val="2"/>
        </w:numPr>
        <w:spacing w:before="40" w:after="40"/>
      </w:pPr>
      <w:r>
        <w:rPr>
          <w:rFonts w:ascii="Arial" w:cs="Arial" w:eastAsia="Arial" w:hAnsi="Arial"/>
          <w:sz w:val="18"/>
          <w:szCs w:val="18"/>
        </w:rPr>
        <w:t xml:space="preserve">Data integrity principles (ALCOA+) in all cleaning records and logbooks.</w:t>
      </w:r>
    </w:p>
    <w:p>
      <w:pPr>
        <w:spacing w:before="0" w:after="0"/>
      </w:pPr>
      <w:r>
        <w:rPr>
          <w:sz w:val="18"/>
          <w:szCs w:val="18"/>
        </w:rPr>
        <w:t xml:space="preserve"/>
      </w:r>
    </w:p>
    <w:p>
      <w:pPr>
        <w:pStyle w:val="Heading1"/>
        <w:pBdr>
          <w:bottom w:val="single" w:color="3A72C9" w:sz="6" w:space="4"/>
        </w:pBdr>
        <w:spacing w:before="280" w:after="120"/>
      </w:pPr>
      <w:r>
        <w:rPr>
          <w:rFonts w:ascii="Arial" w:cs="Arial" w:eastAsia="Arial" w:hAnsi="Arial"/>
          <w:b/>
          <w:bCs/>
          <w:color w:val="1B2A4A"/>
          <w:sz w:val="28"/>
          <w:szCs w:val="28"/>
        </w:rPr>
        <w:t xml:space="preserve">3. SCOPE</w:t>
      </w:r>
    </w:p>
    <w:p>
      <w:pPr>
        <w:spacing w:before="60" w:after="60"/>
      </w:pPr>
      <w:r>
        <w:rPr>
          <w:rFonts w:ascii="Arial" w:cs="Arial" w:eastAsia="Arial" w:hAnsi="Arial"/>
          <w:sz w:val="18"/>
          <w:szCs w:val="18"/>
        </w:rPr>
        <w:t xml:space="preserve">This SOP applies to:</w:t>
      </w:r>
    </w:p>
    <w:p>
      <w:pPr>
        <w:pStyle w:val="ListParagraph"/>
        <w:numPr>
          <w:ilvl w:val="0"/>
          <w:numId w:val="2"/>
        </w:numPr>
        <w:spacing w:before="40" w:after="40"/>
      </w:pPr>
      <w:r>
        <w:rPr>
          <w:rFonts w:ascii="Arial" w:cs="Arial" w:eastAsia="Arial" w:hAnsi="Arial"/>
          <w:sz w:val="18"/>
          <w:szCs w:val="18"/>
        </w:rPr>
        <w:t xml:space="preserve">All GMP-critical production equipment used in the manufacture of pharmaceutical dosage forms including but not limited to: granulators, blenders, tablet compression machines, coating pans, filling machines, reactors, and product-contact piping.</w:t>
      </w:r>
    </w:p>
    <w:p>
      <w:pPr>
        <w:pStyle w:val="ListParagraph"/>
        <w:numPr>
          <w:ilvl w:val="0"/>
          <w:numId w:val="2"/>
        </w:numPr>
        <w:spacing w:before="40" w:after="40"/>
      </w:pPr>
      <w:r>
        <w:rPr>
          <w:rFonts w:ascii="Arial" w:cs="Arial" w:eastAsia="Arial" w:hAnsi="Arial"/>
          <w:sz w:val="18"/>
          <w:szCs w:val="18"/>
        </w:rPr>
        <w:t xml:space="preserve">QC laboratory glassware, sampling equipment, dissolution vessels, and product-contact laboratory apparatus.</w:t>
      </w:r>
    </w:p>
    <w:p>
      <w:pPr>
        <w:pStyle w:val="ListParagraph"/>
        <w:numPr>
          <w:ilvl w:val="0"/>
          <w:numId w:val="2"/>
        </w:numPr>
        <w:spacing w:before="40" w:after="40"/>
      </w:pPr>
      <w:r>
        <w:rPr>
          <w:rFonts w:ascii="Arial" w:cs="Arial" w:eastAsia="Arial" w:hAnsi="Arial"/>
          <w:sz w:val="18"/>
          <w:szCs w:val="18"/>
        </w:rPr>
        <w:t xml:space="preserve">Cleaning-in-Place (CIP) and Cleaning-out-of-Place (COP) systems.</w:t>
      </w:r>
    </w:p>
    <w:p>
      <w:pPr>
        <w:pStyle w:val="ListParagraph"/>
        <w:numPr>
          <w:ilvl w:val="0"/>
          <w:numId w:val="2"/>
        </w:numPr>
        <w:spacing w:before="40" w:after="40"/>
      </w:pPr>
      <w:r>
        <w:rPr>
          <w:rFonts w:ascii="Arial" w:cs="Arial" w:eastAsia="Arial" w:hAnsi="Arial"/>
          <w:sz w:val="18"/>
          <w:szCs w:val="18"/>
        </w:rPr>
        <w:t xml:space="preserve">Product change-overs (different product or strength on shared equipment).</w:t>
      </w:r>
    </w:p>
    <w:p>
      <w:pPr>
        <w:pStyle w:val="ListParagraph"/>
        <w:numPr>
          <w:ilvl w:val="0"/>
          <w:numId w:val="2"/>
        </w:numPr>
        <w:spacing w:before="40" w:after="40"/>
      </w:pPr>
      <w:r>
        <w:rPr>
          <w:rFonts w:ascii="Arial" w:cs="Arial" w:eastAsia="Arial" w:hAnsi="Arial"/>
          <w:sz w:val="18"/>
          <w:szCs w:val="18"/>
        </w:rPr>
        <w:t xml:space="preserve">Cleaning following equipment maintenance, repair, or after extended storage.</w:t>
      </w:r>
    </w:p>
    <w:p>
      <w:pPr>
        <w:spacing w:before="0" w:after="0"/>
      </w:pPr>
      <w:r>
        <w:rPr>
          <w:sz w:val="18"/>
          <w:szCs w:val="18"/>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0"/>
        <w:gridCol w:w="8126"/>
      </w:tblGrid>
      <w:tr>
        <w:tc>
          <w:tcPr>
            <w:tcW w:type="dxa" w:w="900"/>
            <w:tcBorders>
              <w:top w:val="single" w:color="1B2A4A" w:sz="4"/>
              <w:left w:val="single" w:color="1B2A4A" w:sz="4"/>
              <w:bottom w:val="single" w:color="1B2A4A" w:sz="4"/>
              <w:right w:val="single" w:color="1B2A4A" w:sz="4"/>
            </w:tcBorders>
            <w:shd w:fill="F4F6FA" w:val="clear"/>
            <w:tcMar>
              <w:top w:type="dxa" w:w="80"/>
              <w:left w:type="dxa" w:w="120"/>
              <w:bottom w:type="dxa" w:w="80"/>
              <w:right w:type="dxa" w:w="120"/>
            </w:tcMar>
            <w:vAlign w:val="center"/>
          </w:tcPr>
          <w:p>
            <w:pPr>
              <w:jc w:val="center"/>
            </w:pPr>
            <w:r>
              <w:rPr>
                <w:rFonts w:ascii="Arial" w:cs="Arial" w:eastAsia="Arial" w:hAnsi="Arial"/>
                <w:b/>
                <w:bCs/>
                <w:color w:val="1B2A4A"/>
                <w:sz w:val="18"/>
                <w:szCs w:val="18"/>
              </w:rPr>
              <w:t xml:space="preserve">SCOPE</w:t>
            </w:r>
          </w:p>
        </w:tc>
        <w:tc>
          <w:tcPr>
            <w:tcW w:type="dxa" w:w="8126"/>
            <w:tcBorders>
              <w:top w:val="single" w:color="1B2A4A" w:sz="4"/>
              <w:left w:val="single" w:color="1B2A4A" w:sz="4"/>
              <w:bottom w:val="single" w:color="1B2A4A" w:sz="4"/>
              <w:right w:val="single" w:color="1B2A4A" w:sz="4"/>
            </w:tcBorders>
            <w:shd w:fill="F4F6FA" w:val="clear"/>
            <w:tcMar>
              <w:top w:type="dxa" w:w="80"/>
              <w:left w:type="dxa" w:w="140"/>
              <w:bottom w:type="dxa" w:w="80"/>
              <w:right w:type="dxa" w:w="140"/>
            </w:tcMar>
          </w:tcPr>
          <w:p>
            <w:r>
              <w:rPr>
                <w:rFonts w:ascii="Arial" w:cs="Arial" w:eastAsia="Arial" w:hAnsi="Arial"/>
                <w:i/>
                <w:iCs/>
                <w:sz w:val="18"/>
                <w:szCs w:val="18"/>
              </w:rPr>
              <w:t xml:space="preserve">This SOP does not cover cleaning of non-product-contact environmental surfaces (floors, walls, benches), which are addressed in the Environmental Cleaning SOP [SOP-ENV-XXX]. It also does not cover cleaning of dedicated equipment where no cross-contamination risk exists unless specified in the Equipment Cleaning Validation Master Plan.</w:t>
            </w:r>
          </w:p>
        </w:tc>
      </w:tr>
    </w:tbl>
    <w:p>
      <w:pPr>
        <w:spacing w:before="0" w:after="0"/>
      </w:pPr>
      <w:r>
        <w:rPr>
          <w:sz w:val="18"/>
          <w:szCs w:val="18"/>
        </w:rPr>
        <w:t xml:space="preserve"/>
      </w:r>
    </w:p>
    <w:p>
      <w:pPr>
        <w:pStyle w:val="Heading1"/>
        <w:pBdr>
          <w:bottom w:val="single" w:color="3A72C9" w:sz="6" w:space="4"/>
        </w:pBdr>
        <w:spacing w:before="280" w:after="120"/>
      </w:pPr>
      <w:r>
        <w:rPr>
          <w:rFonts w:ascii="Arial" w:cs="Arial" w:eastAsia="Arial" w:hAnsi="Arial"/>
          <w:b/>
          <w:bCs/>
          <w:color w:val="1B2A4A"/>
          <w:sz w:val="28"/>
          <w:szCs w:val="28"/>
        </w:rPr>
        <w:t xml:space="preserve">4. REGULATORY BASIS &amp; SCHEDULE M ALIGNMENT</w:t>
      </w:r>
    </w:p>
    <w:p>
      <w:pPr>
        <w:spacing w:before="60" w:after="60"/>
      </w:pPr>
      <w:r>
        <w:rPr>
          <w:rFonts w:ascii="Arial" w:cs="Arial" w:eastAsia="Arial" w:hAnsi="Arial"/>
          <w:sz w:val="18"/>
          <w:szCs w:val="18"/>
        </w:rPr>
        <w:t xml:space="preserve">This SOP has been prepared to meet the requirements of the following regulations and guidelines: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600"/>
        <w:gridCol w:w="2600"/>
        <w:gridCol w:w="3826"/>
      </w:tblGrid>
      <w:tr>
        <w:trPr>
          <w:tblHeader/>
        </w:trPr>
        <w:tc>
          <w:tcPr>
            <w:tcW w:type="dxa" w:w="26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Regulation / Guideline</w:t>
            </w:r>
          </w:p>
        </w:tc>
        <w:tc>
          <w:tcPr>
            <w:tcW w:type="dxa" w:w="26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Reference Clause / Section</w:t>
            </w:r>
          </w:p>
        </w:tc>
        <w:tc>
          <w:tcPr>
            <w:tcW w:type="dxa" w:w="3826"/>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Relevance to This SOP</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Schedule M (G.S.R.227(E)/2023)</w:t>
            </w:r>
          </w:p>
        </w:tc>
        <w:tc>
          <w:tcPr>
            <w:tcW w:type="dxa" w:w="2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Clauses 6.2, 6.3, and Cleaning Validation Annex</w:t>
            </w:r>
          </w:p>
        </w:tc>
        <w:tc>
          <w:tcPr>
            <w:tcW w:type="dxa" w:w="38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Cleaning of premises, equipment, and validation of cleaning procedures for shared equipment</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Drugs &amp; Cosmetics Rules 1945, Rule 71</w:t>
            </w:r>
          </w:p>
        </w:tc>
        <w:tc>
          <w:tcPr>
            <w:tcW w:type="dxa" w:w="2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Good Manufacturing Practices</w:t>
            </w:r>
          </w:p>
        </w:tc>
        <w:tc>
          <w:tcPr>
            <w:tcW w:type="dxa" w:w="38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Statutory GMP obligations for licensed manufacturers in India</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WHO TRS 937, Annex 4</w:t>
            </w:r>
          </w:p>
        </w:tc>
        <w:tc>
          <w:tcPr>
            <w:tcW w:type="dxa" w:w="2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Cleaning Validation Guidelines</w:t>
            </w:r>
          </w:p>
        </w:tc>
        <w:tc>
          <w:tcPr>
            <w:tcW w:type="dxa" w:w="38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Acceptance criteria, sampling strategies, worst-case approach</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ICH Q7 (API GMP)</w:t>
            </w:r>
          </w:p>
        </w:tc>
        <w:tc>
          <w:tcPr>
            <w:tcW w:type="dxa" w:w="2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Section 12 — Validation, Cleaning</w:t>
            </w:r>
          </w:p>
        </w:tc>
        <w:tc>
          <w:tcPr>
            <w:tcW w:type="dxa" w:w="38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Cleaning validation for API equipment, carry-over limits</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EU GMP Annex 15</w:t>
            </w:r>
          </w:p>
        </w:tc>
        <w:tc>
          <w:tcPr>
            <w:tcW w:type="dxa" w:w="2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Qualification &amp; Validation</w:t>
            </w:r>
          </w:p>
        </w:tc>
        <w:tc>
          <w:tcPr>
            <w:tcW w:type="dxa" w:w="38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Cleaning validation protocol and report requirements</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IP 2022 / USP &lt;1228&gt;</w:t>
            </w:r>
          </w:p>
        </w:tc>
        <w:tc>
          <w:tcPr>
            <w:tcW w:type="dxa" w:w="2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Pharmacopoeial Standards</w:t>
            </w:r>
          </w:p>
        </w:tc>
        <w:tc>
          <w:tcPr>
            <w:tcW w:type="dxa" w:w="38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Purified Water / WFI specifications for rinse water testing</w:t>
            </w:r>
          </w:p>
        </w:tc>
      </w:tr>
    </w:tbl>
    <w:p>
      <w:pPr>
        <w:spacing w:before="0" w:after="0"/>
      </w:pPr>
      <w:r>
        <w:rPr>
          <w:sz w:val="18"/>
          <w:szCs w:val="18"/>
        </w:rPr>
        <w:t xml:space="preserve"/>
      </w:r>
    </w:p>
    <w:p>
      <w:pPr>
        <w:pStyle w:val="Heading1"/>
        <w:pBdr>
          <w:bottom w:val="single" w:color="3A72C9" w:sz="6" w:space="4"/>
        </w:pBdr>
        <w:spacing w:before="280" w:after="120"/>
      </w:pPr>
      <w:r>
        <w:rPr>
          <w:rFonts w:ascii="Arial" w:cs="Arial" w:eastAsia="Arial" w:hAnsi="Arial"/>
          <w:b/>
          <w:bCs/>
          <w:color w:val="1B2A4A"/>
          <w:sz w:val="28"/>
          <w:szCs w:val="28"/>
        </w:rPr>
        <w:t xml:space="preserve">5. DEFINITIONS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800"/>
        <w:gridCol w:w="6226"/>
      </w:tblGrid>
      <w:tr>
        <w:trPr>
          <w:tblHeader/>
        </w:trPr>
        <w:tc>
          <w:tcPr>
            <w:tcW w:type="dxa" w:w="28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Term</w:t>
            </w:r>
          </w:p>
        </w:tc>
        <w:tc>
          <w:tcPr>
            <w:tcW w:type="dxa" w:w="6226"/>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Definition</w:t>
            </w:r>
          </w:p>
        </w:tc>
      </w:tr>
      <w:tr>
        <w:tc>
          <w:tcPr>
            <w:tcW w:type="dxa" w:w="28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Cleaning Validation</w:t>
            </w:r>
          </w:p>
        </w:tc>
        <w:tc>
          <w:tcPr>
            <w:tcW w:type="dxa" w:w="6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The documented evidence that an approved cleaning procedure will consistently and effectively clean a specific piece of equipment to a predetermined acceptance criterion, reducing residues to acceptable limits.</w:t>
            </w:r>
          </w:p>
        </w:tc>
      </w:tr>
      <w:tr>
        <w:tc>
          <w:tcPr>
            <w:tcW w:type="dxa" w:w="28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Worst-Case Equipment</w:t>
            </w:r>
          </w:p>
        </w:tc>
        <w:tc>
          <w:tcPr>
            <w:tcW w:type="dxa" w:w="6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The piece of shared equipment identified as the most difficult to clean or most likely to retain residues, used as the basis for cleaning validation studies.</w:t>
            </w:r>
          </w:p>
        </w:tc>
      </w:tr>
      <w:tr>
        <w:tc>
          <w:tcPr>
            <w:tcW w:type="dxa" w:w="28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Worst-Case Product</w:t>
            </w:r>
          </w:p>
        </w:tc>
        <w:tc>
          <w:tcPr>
            <w:tcW w:type="dxa" w:w="6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The product with the lowest acceptable carry-over limit (most toxic, lowest therapeutic dose, or hardest to remove) used to set acceptance criteria.</w:t>
            </w:r>
          </w:p>
        </w:tc>
      </w:tr>
      <w:tr>
        <w:tc>
          <w:tcPr>
            <w:tcW w:type="dxa" w:w="28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MACO (Maximum Allowable Carry-Over)</w:t>
            </w:r>
          </w:p>
        </w:tc>
        <w:tc>
          <w:tcPr>
            <w:tcW w:type="dxa" w:w="6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The maximum quantity of a residual substance permitted in a subsequent product batch, calculated using 0.1% of the minimum therapeutic dose, 10 ppm, or visually clean criterion — whichever is most stringent.</w:t>
            </w:r>
          </w:p>
        </w:tc>
      </w:tr>
      <w:tr>
        <w:tc>
          <w:tcPr>
            <w:tcW w:type="dxa" w:w="28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NOEL (No-Observable-Effect Level)</w:t>
            </w:r>
          </w:p>
        </w:tc>
        <w:tc>
          <w:tcPr>
            <w:tcW w:type="dxa" w:w="6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The highest dose at which no adverse effect is observed; used in HBEL/PDE calculations for potent compounds.</w:t>
            </w:r>
          </w:p>
        </w:tc>
      </w:tr>
      <w:tr>
        <w:tc>
          <w:tcPr>
            <w:tcW w:type="dxa" w:w="28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HBEL / PDE</w:t>
            </w:r>
          </w:p>
        </w:tc>
        <w:tc>
          <w:tcPr>
            <w:tcW w:type="dxa" w:w="6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Health-Based Exposure Limit / Permitted Daily Exposure — toxicological thresholds used to set cleaning acceptance criteria for APIs and excipients.</w:t>
            </w:r>
          </w:p>
        </w:tc>
      </w:tr>
      <w:tr>
        <w:tc>
          <w:tcPr>
            <w:tcW w:type="dxa" w:w="28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Visually Clean</w:t>
            </w:r>
          </w:p>
        </w:tc>
        <w:tc>
          <w:tcPr>
            <w:tcW w:type="dxa" w:w="6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No visible residue remains after cleaning; a minimum standard — not a substitute for analytical testing in cleaning validation.</w:t>
            </w:r>
          </w:p>
        </w:tc>
      </w:tr>
      <w:tr>
        <w:tc>
          <w:tcPr>
            <w:tcW w:type="dxa" w:w="28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Rinse Sample</w:t>
            </w:r>
          </w:p>
        </w:tc>
        <w:tc>
          <w:tcPr>
            <w:tcW w:type="dxa" w:w="6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A final rinse water sample collected from equipment after cleaning; tested for product residue (TOC, HPLC, or specific method), cleaning agent residue, conductivity, and microbial quality.</w:t>
            </w:r>
          </w:p>
        </w:tc>
      </w:tr>
      <w:tr>
        <w:tc>
          <w:tcPr>
            <w:tcW w:type="dxa" w:w="28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Swab Sample</w:t>
            </w:r>
          </w:p>
        </w:tc>
        <w:tc>
          <w:tcPr>
            <w:tcW w:type="dxa" w:w="6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A swab taken directly from a defined product-contact surface; used where rinse water may not reach all surfaces or where direct surface testing is more appropriate.</w:t>
            </w:r>
          </w:p>
        </w:tc>
      </w:tr>
      <w:tr>
        <w:tc>
          <w:tcPr>
            <w:tcW w:type="dxa" w:w="28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Dirty Hold Time (DHT)</w:t>
            </w:r>
          </w:p>
        </w:tc>
        <w:tc>
          <w:tcPr>
            <w:tcW w:type="dxa" w:w="6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The validated maximum time equipment may remain uncleaned after use before microbial growth or residue hardening compromises cleaning efficacy.</w:t>
            </w:r>
          </w:p>
        </w:tc>
      </w:tr>
      <w:tr>
        <w:tc>
          <w:tcPr>
            <w:tcW w:type="dxa" w:w="28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Clean Hold Time (CHT)</w:t>
            </w:r>
          </w:p>
        </w:tc>
        <w:tc>
          <w:tcPr>
            <w:tcW w:type="dxa" w:w="6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The validated maximum time cleaned and dried equipment may be stored before it must be re-cleaned or re-checked prior to use.</w:t>
            </w:r>
          </w:p>
        </w:tc>
      </w:tr>
      <w:tr>
        <w:tc>
          <w:tcPr>
            <w:tcW w:type="dxa" w:w="28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CIP (Cleaning-in-Place)</w:t>
            </w:r>
          </w:p>
        </w:tc>
        <w:tc>
          <w:tcPr>
            <w:tcW w:type="dxa" w:w="6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Automated cleaning of equipment without disassembly, using controlled flows of cleaning solutions and rinse water through fixed spray balls or nozzles.</w:t>
            </w:r>
          </w:p>
        </w:tc>
      </w:tr>
      <w:tr>
        <w:tc>
          <w:tcPr>
            <w:tcW w:type="dxa" w:w="28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COP (Cleaning-out-of-Place)</w:t>
            </w:r>
          </w:p>
        </w:tc>
        <w:tc>
          <w:tcPr>
            <w:tcW w:type="dxa" w:w="6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Manual or semi-automated cleaning of disassembled equipment parts in a designated COP wash tank or area.</w:t>
            </w:r>
          </w:p>
        </w:tc>
      </w:tr>
      <w:tr>
        <w:tc>
          <w:tcPr>
            <w:tcW w:type="dxa" w:w="28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Dedicated Equipment</w:t>
            </w:r>
          </w:p>
        </w:tc>
        <w:tc>
          <w:tcPr>
            <w:tcW w:type="dxa" w:w="6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Equipment used exclusively for one product or product family; lower cleaning validation burden but still requires a documented and verified cleaning procedure.</w:t>
            </w:r>
          </w:p>
        </w:tc>
      </w:tr>
      <w:tr>
        <w:tc>
          <w:tcPr>
            <w:tcW w:type="dxa" w:w="28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Bracketing / Matrixing</w:t>
            </w:r>
          </w:p>
        </w:tc>
        <w:tc>
          <w:tcPr>
            <w:tcW w:type="dxa" w:w="6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Risk-based reduction of cleaning validation studies by grouping similar equipment/products; must be scientifically justified.</w:t>
            </w:r>
          </w:p>
        </w:tc>
      </w:tr>
      <w:tr>
        <w:tc>
          <w:tcPr>
            <w:tcW w:type="dxa" w:w="28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ALCOA+</w:t>
            </w:r>
          </w:p>
        </w:tc>
        <w:tc>
          <w:tcPr>
            <w:tcW w:type="dxa" w:w="6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Attributable, Legible, Contemporaneous, Original, Accurate + Complete, Consistent, Enduring, Available — data integrity principles applicable to all cleaning records.</w:t>
            </w:r>
          </w:p>
        </w:tc>
      </w:tr>
    </w:tbl>
    <w:p>
      <w:pPr>
        <w:spacing w:before="0" w:after="0"/>
      </w:pPr>
      <w:r>
        <w:rPr>
          <w:sz w:val="18"/>
          <w:szCs w:val="18"/>
        </w:rPr>
        <w:t xml:space="preserve"/>
      </w:r>
    </w:p>
    <w:p>
      <w:pPr>
        <w:pStyle w:val="Heading1"/>
        <w:pBdr>
          <w:bottom w:val="single" w:color="3A72C9" w:sz="6" w:space="4"/>
        </w:pBdr>
        <w:spacing w:before="280" w:after="120"/>
      </w:pPr>
      <w:r>
        <w:rPr>
          <w:rFonts w:ascii="Arial" w:cs="Arial" w:eastAsia="Arial" w:hAnsi="Arial"/>
          <w:b/>
          <w:bCs/>
          <w:color w:val="1B2A4A"/>
          <w:sz w:val="28"/>
          <w:szCs w:val="28"/>
        </w:rPr>
        <w:t xml:space="preserve">6. RESPONSIBILITIES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400"/>
        <w:gridCol w:w="6626"/>
      </w:tblGrid>
      <w:tr>
        <w:trPr>
          <w:tblHeader/>
        </w:trPr>
        <w:tc>
          <w:tcPr>
            <w:tcW w:type="dxa" w:w="24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Role</w:t>
            </w:r>
          </w:p>
        </w:tc>
        <w:tc>
          <w:tcPr>
            <w:tcW w:type="dxa" w:w="6626"/>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Responsibility</w:t>
            </w:r>
          </w:p>
        </w:tc>
      </w:tr>
      <w:tr>
        <w:tc>
          <w:tcPr>
            <w:tcW w:type="dxa" w:w="2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Head Quality Assurance</w:t>
            </w:r>
          </w:p>
        </w:tc>
        <w:tc>
          <w:tcPr>
            <w:tcW w:type="dxa" w:w="66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Approve this SOP and all Cleaning Validation Protocols and Reports; ensure Schedule M compliance; authorise deviations from this SOP; final release authority.</w:t>
            </w:r>
          </w:p>
        </w:tc>
      </w:tr>
      <w:tr>
        <w:tc>
          <w:tcPr>
            <w:tcW w:type="dxa" w:w="2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Head Production</w:t>
            </w:r>
          </w:p>
        </w:tc>
        <w:tc>
          <w:tcPr>
            <w:tcW w:type="dxa" w:w="66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Ensure all production cleaning staff are trained and assessed as competent; ensure cleaning is performed per SOP; review and sign completed Cleaning Batch Records (CBR).</w:t>
            </w:r>
          </w:p>
        </w:tc>
      </w:tr>
      <w:tr>
        <w:tc>
          <w:tcPr>
            <w:tcW w:type="dxa" w:w="2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Head Quality Control</w:t>
            </w:r>
          </w:p>
        </w:tc>
        <w:tc>
          <w:tcPr>
            <w:tcW w:type="dxa" w:w="66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Approve analytical methods for residue testing; ensure QC testing of rinse/swab samples is performed on schedule; review and approve cleaning validation analytical data.</w:t>
            </w:r>
          </w:p>
        </w:tc>
      </w:tr>
      <w:tr>
        <w:tc>
          <w:tcPr>
            <w:tcW w:type="dxa" w:w="2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Validation Manager / Engineer</w:t>
            </w:r>
          </w:p>
        </w:tc>
        <w:tc>
          <w:tcPr>
            <w:tcW w:type="dxa" w:w="66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Prepare and execute Cleaning Validation Protocols (CVP) and Cleaning Validation Reports (CVR); maintain the Cleaning Validation Master Plan (CVMP); manage validation lifecycle.</w:t>
            </w:r>
          </w:p>
        </w:tc>
      </w:tr>
      <w:tr>
        <w:tc>
          <w:tcPr>
            <w:tcW w:type="dxa" w:w="2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Production Operator / Cleaner</w:t>
            </w:r>
          </w:p>
        </w:tc>
        <w:tc>
          <w:tcPr>
            <w:tcW w:type="dxa" w:w="66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Perform equipment cleaning per this SOP and applicable Equipment-Specific Cleaning Instructions (ESCI); complete Cleaning Logbook entries contemporaneously; report deviations immediately.</w:t>
            </w:r>
          </w:p>
        </w:tc>
      </w:tr>
      <w:tr>
        <w:tc>
          <w:tcPr>
            <w:tcW w:type="dxa" w:w="2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QC Analyst</w:t>
            </w:r>
          </w:p>
        </w:tc>
        <w:tc>
          <w:tcPr>
            <w:tcW w:type="dxa" w:w="66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Perform rinse and swab sample testing; document results in the LIMS or laboratory worksheets per ALCOA+ principles; report OOS results immediately to Head QC.</w:t>
            </w:r>
          </w:p>
        </w:tc>
      </w:tr>
      <w:tr>
        <w:tc>
          <w:tcPr>
            <w:tcW w:type="dxa" w:w="2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Engineering / Maintenance</w:t>
            </w:r>
          </w:p>
        </w:tc>
        <w:tc>
          <w:tcPr>
            <w:tcW w:type="dxa" w:w="66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Maintain CIP systems, spray balls, and cleaning equipment; ensure cleaning agent dosing systems are calibrated; notify QA before maintenance that may affect cleaning efficacy.</w:t>
            </w:r>
          </w:p>
        </w:tc>
      </w:tr>
    </w:tbl>
    <w:p>
      <w:pPr>
        <w:spacing w:before="0" w:after="0"/>
      </w:pPr>
      <w:r>
        <w:rPr>
          <w:sz w:val="18"/>
          <w:szCs w:val="18"/>
        </w:rPr>
        <w:t xml:space="preserve"/>
      </w:r>
    </w:p>
    <w:p>
      <w:pPr>
        <w:pStyle w:val="Heading1"/>
        <w:pBdr>
          <w:bottom w:val="single" w:color="3A72C9" w:sz="6" w:space="4"/>
        </w:pBdr>
        <w:spacing w:before="280" w:after="120"/>
      </w:pPr>
      <w:r>
        <w:rPr>
          <w:rFonts w:ascii="Arial" w:cs="Arial" w:eastAsia="Arial" w:hAnsi="Arial"/>
          <w:b/>
          <w:bCs/>
          <w:color w:val="1B2A4A"/>
          <w:sz w:val="28"/>
          <w:szCs w:val="28"/>
        </w:rPr>
        <w:t xml:space="preserve">7. APPROVED CLEANING MATERIALS &amp; EQUIPMENT</w:t>
      </w:r>
    </w:p>
    <w:p>
      <w:pPr>
        <w:pStyle w:val="Heading2"/>
        <w:spacing w:before="200" w:after="80"/>
      </w:pPr>
      <w:r>
        <w:rPr>
          <w:rFonts w:ascii="Arial" w:cs="Arial" w:eastAsia="Arial" w:hAnsi="Arial"/>
          <w:b/>
          <w:bCs/>
          <w:color w:val="2E4D8A"/>
          <w:sz w:val="22"/>
          <w:szCs w:val="22"/>
        </w:rPr>
        <w:t xml:space="preserve">7.1 Approved Cleaning Agents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0"/>
        <w:gridCol w:w="8126"/>
      </w:tblGrid>
      <w:tr>
        <w:tc>
          <w:tcPr>
            <w:tcW w:type="dxa" w:w="900"/>
            <w:tcBorders>
              <w:top w:val="single" w:color="1B2A4A" w:sz="4"/>
              <w:left w:val="single" w:color="1B2A4A" w:sz="4"/>
              <w:bottom w:val="single" w:color="1B2A4A" w:sz="4"/>
              <w:right w:val="single" w:color="1B2A4A" w:sz="4"/>
            </w:tcBorders>
            <w:shd w:fill="FFF3CD" w:val="clear"/>
            <w:tcMar>
              <w:top w:type="dxa" w:w="80"/>
              <w:left w:type="dxa" w:w="120"/>
              <w:bottom w:type="dxa" w:w="80"/>
              <w:right w:type="dxa" w:w="120"/>
            </w:tcMar>
            <w:vAlign w:val="center"/>
          </w:tcPr>
          <w:p>
            <w:pPr>
              <w:jc w:val="center"/>
            </w:pPr>
            <w:r>
              <w:rPr>
                <w:rFonts w:ascii="Arial" w:cs="Arial" w:eastAsia="Arial" w:hAnsi="Arial"/>
                <w:b/>
                <w:bCs/>
                <w:color w:val="1B2A4A"/>
                <w:sz w:val="18"/>
                <w:szCs w:val="18"/>
              </w:rPr>
              <w:t xml:space="preserve">CRITICAL</w:t>
            </w:r>
          </w:p>
        </w:tc>
        <w:tc>
          <w:tcPr>
            <w:tcW w:type="dxa" w:w="8126"/>
            <w:tcBorders>
              <w:top w:val="single" w:color="1B2A4A" w:sz="4"/>
              <w:left w:val="single" w:color="1B2A4A" w:sz="4"/>
              <w:bottom w:val="single" w:color="1B2A4A" w:sz="4"/>
              <w:right w:val="single" w:color="1B2A4A" w:sz="4"/>
            </w:tcBorders>
            <w:shd w:fill="FFF3CD" w:val="clear"/>
            <w:tcMar>
              <w:top w:type="dxa" w:w="80"/>
              <w:left w:type="dxa" w:w="140"/>
              <w:bottom w:type="dxa" w:w="80"/>
              <w:right w:type="dxa" w:w="140"/>
            </w:tcMar>
          </w:tcPr>
          <w:p>
            <w:r>
              <w:rPr>
                <w:rFonts w:ascii="Arial" w:cs="Arial" w:eastAsia="Arial" w:hAnsi="Arial"/>
                <w:i/>
                <w:iCs/>
                <w:sz w:val="18"/>
                <w:szCs w:val="18"/>
              </w:rPr>
              <w:t xml:space="preserve">Only QA-approved cleaning agents from the Approved Cleaning Agents Register [QA-REG-CLN-001] may be used. No substitutions are permitted without QA approval and change control.</w:t>
            </w:r>
          </w:p>
        </w:tc>
      </w:tr>
    </w:tbl>
    <w:p>
      <w:pPr>
        <w:spacing w:before="0" w:after="0"/>
      </w:pPr>
      <w:r>
        <w:rPr>
          <w:sz w:val="18"/>
          <w:szCs w:val="18"/>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600"/>
        <w:gridCol w:w="1800"/>
        <w:gridCol w:w="1600"/>
        <w:gridCol w:w="1600"/>
        <w:gridCol w:w="2426"/>
      </w:tblGrid>
      <w:tr>
        <w:trPr>
          <w:tblHeader/>
        </w:trPr>
        <w:tc>
          <w:tcPr>
            <w:tcW w:type="dxa" w:w="16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Agent Type</w:t>
            </w:r>
          </w:p>
        </w:tc>
        <w:tc>
          <w:tcPr>
            <w:tcW w:type="dxa" w:w="18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Approved Product / Grade</w:t>
            </w:r>
          </w:p>
        </w:tc>
        <w:tc>
          <w:tcPr>
            <w:tcW w:type="dxa" w:w="16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Use Concentration</w:t>
            </w:r>
          </w:p>
        </w:tc>
        <w:tc>
          <w:tcPr>
            <w:tcW w:type="dxa" w:w="16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Contact Time</w:t>
            </w:r>
          </w:p>
        </w:tc>
        <w:tc>
          <w:tcPr>
            <w:tcW w:type="dxa" w:w="2426"/>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Remarks</w:t>
            </w:r>
          </w:p>
        </w:tc>
      </w:tr>
      <w:tr>
        <w:tc>
          <w:tcPr>
            <w:tcW w:type="dxa" w:w="1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Alkaline Detergent</w:t>
            </w:r>
          </w:p>
        </w:tc>
        <w:tc>
          <w:tcPr>
            <w:tcW w:type="dxa" w:w="18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[e.g., Mip CIP 100 / equivalent]</w:t>
            </w:r>
          </w:p>
        </w:tc>
        <w:tc>
          <w:tcPr>
            <w:tcW w:type="dxa" w:w="1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[X]% v/v in PW</w:t>
            </w:r>
          </w:p>
        </w:tc>
        <w:tc>
          <w:tcPr>
            <w:tcW w:type="dxa" w:w="1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[X] min</w:t>
            </w:r>
          </w:p>
        </w:tc>
        <w:tc>
          <w:tcPr>
            <w:tcW w:type="dxa" w:w="24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Primary cleaning agent — removes organic residues; validated</w:t>
            </w:r>
          </w:p>
        </w:tc>
      </w:tr>
      <w:tr>
        <w:tc>
          <w:tcPr>
            <w:tcW w:type="dxa" w:w="1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Acid Detergent</w:t>
            </w:r>
          </w:p>
        </w:tc>
        <w:tc>
          <w:tcPr>
            <w:tcW w:type="dxa" w:w="18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[e.g., Mip 77 / equivalent]</w:t>
            </w:r>
          </w:p>
        </w:tc>
        <w:tc>
          <w:tcPr>
            <w:tcW w:type="dxa" w:w="1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[X]% v/v in PW</w:t>
            </w:r>
          </w:p>
        </w:tc>
        <w:tc>
          <w:tcPr>
            <w:tcW w:type="dxa" w:w="1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[X] min</w:t>
            </w:r>
          </w:p>
        </w:tc>
        <w:tc>
          <w:tcPr>
            <w:tcW w:type="dxa" w:w="24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For mineral / scale removal; use on schedule per ESCI</w:t>
            </w:r>
          </w:p>
        </w:tc>
      </w:tr>
      <w:tr>
        <w:tc>
          <w:tcPr>
            <w:tcW w:type="dxa" w:w="1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Disinfectant / Sanitiser</w:t>
            </w:r>
          </w:p>
        </w:tc>
        <w:tc>
          <w:tcPr>
            <w:tcW w:type="dxa" w:w="18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[e.g., IPA 70% / Peracetic acid 0.2%]</w:t>
            </w:r>
          </w:p>
        </w:tc>
        <w:tc>
          <w:tcPr>
            <w:tcW w:type="dxa" w:w="1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As prepared</w:t>
            </w:r>
          </w:p>
        </w:tc>
        <w:tc>
          <w:tcPr>
            <w:tcW w:type="dxa" w:w="1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[X] min</w:t>
            </w:r>
          </w:p>
        </w:tc>
        <w:tc>
          <w:tcPr>
            <w:tcW w:type="dxa" w:w="24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Microbial control; alternate per disinfectant rotation SOP</w:t>
            </w:r>
          </w:p>
        </w:tc>
      </w:tr>
      <w:tr>
        <w:tc>
          <w:tcPr>
            <w:tcW w:type="dxa" w:w="1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Purified Water (Final Rinse)</w:t>
            </w:r>
          </w:p>
        </w:tc>
        <w:tc>
          <w:tcPr>
            <w:tcW w:type="dxa" w:w="18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IP/USP PW — conductivity ≤ 4.3 µS/cm</w:t>
            </w:r>
          </w:p>
        </w:tc>
        <w:tc>
          <w:tcPr>
            <w:tcW w:type="dxa" w:w="1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Neat</w:t>
            </w:r>
          </w:p>
        </w:tc>
        <w:tc>
          <w:tcPr>
            <w:tcW w:type="dxa" w:w="1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Flush until limits met</w:t>
            </w:r>
          </w:p>
        </w:tc>
        <w:tc>
          <w:tcPr>
            <w:tcW w:type="dxa" w:w="24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Final rinse for all product-contact surfaces</w:t>
            </w:r>
          </w:p>
        </w:tc>
      </w:tr>
      <w:tr>
        <w:tc>
          <w:tcPr>
            <w:tcW w:type="dxa" w:w="1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WFI (Sterile Areas)</w:t>
            </w:r>
          </w:p>
        </w:tc>
        <w:tc>
          <w:tcPr>
            <w:tcW w:type="dxa" w:w="18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IP/USP WFI — endotoxin ≤ 0.25 EU/mL</w:t>
            </w:r>
          </w:p>
        </w:tc>
        <w:tc>
          <w:tcPr>
            <w:tcW w:type="dxa" w:w="1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Neat</w:t>
            </w:r>
          </w:p>
        </w:tc>
        <w:tc>
          <w:tcPr>
            <w:tcW w:type="dxa" w:w="1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Flush until limits met</w:t>
            </w:r>
          </w:p>
        </w:tc>
        <w:tc>
          <w:tcPr>
            <w:tcW w:type="dxa" w:w="24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Final rinse for sterile/aseptic manufacturing areas only</w:t>
            </w:r>
          </w:p>
        </w:tc>
      </w:tr>
    </w:tbl>
    <w:p>
      <w:pPr>
        <w:spacing w:before="0" w:after="0"/>
      </w:pPr>
      <w:r>
        <w:rPr>
          <w:sz w:val="18"/>
          <w:szCs w:val="18"/>
        </w:rPr>
        <w:t xml:space="preserve"/>
      </w:r>
    </w:p>
    <w:p>
      <w:pPr>
        <w:pStyle w:val="Heading2"/>
        <w:spacing w:before="200" w:after="80"/>
      </w:pPr>
      <w:r>
        <w:rPr>
          <w:rFonts w:ascii="Arial" w:cs="Arial" w:eastAsia="Arial" w:hAnsi="Arial"/>
          <w:b/>
          <w:bCs/>
          <w:color w:val="2E4D8A"/>
          <w:sz w:val="22"/>
          <w:szCs w:val="22"/>
        </w:rPr>
        <w:t xml:space="preserve">7.2 Cleaning Equipment &amp; Tools</w:t>
      </w:r>
    </w:p>
    <w:p>
      <w:pPr>
        <w:pStyle w:val="ListParagraph"/>
        <w:numPr>
          <w:ilvl w:val="0"/>
          <w:numId w:val="2"/>
        </w:numPr>
        <w:spacing w:before="40" w:after="40"/>
      </w:pPr>
      <w:r>
        <w:rPr>
          <w:rFonts w:ascii="Arial" w:cs="Arial" w:eastAsia="Arial" w:hAnsi="Arial"/>
          <w:sz w:val="18"/>
          <w:szCs w:val="18"/>
        </w:rPr>
        <w:t xml:space="preserve">Dedicated cleaning brushes, mops, and cloths (colour-coded per area/product risk — see Colour-Coding Chart [QA-WI-CLN-002])</w:t>
      </w:r>
    </w:p>
    <w:p>
      <w:pPr>
        <w:pStyle w:val="ListParagraph"/>
        <w:numPr>
          <w:ilvl w:val="0"/>
          <w:numId w:val="2"/>
        </w:numPr>
        <w:spacing w:before="40" w:after="40"/>
      </w:pPr>
      <w:r>
        <w:rPr>
          <w:rFonts w:ascii="Arial" w:cs="Arial" w:eastAsia="Arial" w:hAnsi="Arial"/>
          <w:sz w:val="18"/>
          <w:szCs w:val="18"/>
        </w:rPr>
        <w:t xml:space="preserve">Non-shedding, lint-free wipes for equipment wiping and swabbing</w:t>
      </w:r>
    </w:p>
    <w:p>
      <w:pPr>
        <w:pStyle w:val="ListParagraph"/>
        <w:numPr>
          <w:ilvl w:val="0"/>
          <w:numId w:val="2"/>
        </w:numPr>
        <w:spacing w:before="40" w:after="40"/>
      </w:pPr>
      <w:r>
        <w:rPr>
          <w:rFonts w:ascii="Arial" w:cs="Arial" w:eastAsia="Arial" w:hAnsi="Arial"/>
          <w:sz w:val="18"/>
          <w:szCs w:val="18"/>
        </w:rPr>
        <w:t xml:space="preserve">CIP spray balls, nozzles, and return lines — inspected per PM schedule [ENG-PM-CIP-001]</w:t>
      </w:r>
    </w:p>
    <w:p>
      <w:pPr>
        <w:pStyle w:val="ListParagraph"/>
        <w:numPr>
          <w:ilvl w:val="0"/>
          <w:numId w:val="2"/>
        </w:numPr>
        <w:spacing w:before="40" w:after="40"/>
      </w:pPr>
      <w:r>
        <w:rPr>
          <w:rFonts w:ascii="Arial" w:cs="Arial" w:eastAsia="Arial" w:hAnsi="Arial"/>
          <w:sz w:val="18"/>
          <w:szCs w:val="18"/>
        </w:rPr>
        <w:t xml:space="preserve">COP wash tanks with validated time/temperature/concentration control</w:t>
      </w:r>
    </w:p>
    <w:p>
      <w:pPr>
        <w:pStyle w:val="ListParagraph"/>
        <w:numPr>
          <w:ilvl w:val="0"/>
          <w:numId w:val="2"/>
        </w:numPr>
        <w:spacing w:before="40" w:after="40"/>
      </w:pPr>
      <w:r>
        <w:rPr>
          <w:rFonts w:ascii="Arial" w:cs="Arial" w:eastAsia="Arial" w:hAnsi="Arial"/>
          <w:sz w:val="18"/>
          <w:szCs w:val="18"/>
        </w:rPr>
        <w:t xml:space="preserve">Calibrated conductivity meter or TOC analyser for in-process rinse water monitoring</w:t>
      </w:r>
    </w:p>
    <w:p>
      <w:pPr>
        <w:pStyle w:val="ListParagraph"/>
        <w:numPr>
          <w:ilvl w:val="0"/>
          <w:numId w:val="2"/>
        </w:numPr>
        <w:spacing w:before="40" w:after="40"/>
      </w:pPr>
      <w:r>
        <w:rPr>
          <w:rFonts w:ascii="Arial" w:cs="Arial" w:eastAsia="Arial" w:hAnsi="Arial"/>
          <w:sz w:val="18"/>
          <w:szCs w:val="18"/>
        </w:rPr>
        <w:t xml:space="preserve">Calibrated pH strips or meter for cleaning agent concentration verification</w:t>
      </w:r>
    </w:p>
    <w:p>
      <w:pPr>
        <w:pStyle w:val="ListParagraph"/>
        <w:numPr>
          <w:ilvl w:val="0"/>
          <w:numId w:val="2"/>
        </w:numPr>
        <w:spacing w:before="40" w:after="40"/>
      </w:pPr>
      <w:r>
        <w:rPr>
          <w:rFonts w:ascii="Arial" w:cs="Arial" w:eastAsia="Arial" w:hAnsi="Arial"/>
          <w:sz w:val="18"/>
          <w:szCs w:val="18"/>
        </w:rPr>
        <w:t xml:space="preserve">Validated swab collection kits with recovery data on file</w:t>
      </w:r>
    </w:p>
    <w:p>
      <w:pPr>
        <w:spacing w:before="0" w:after="0"/>
      </w:pPr>
      <w:r>
        <w:rPr>
          <w:sz w:val="18"/>
          <w:szCs w:val="18"/>
        </w:rPr>
        <w:t xml:space="preserve"/>
      </w:r>
    </w:p>
    <w:p>
      <w:pPr>
        <w:pStyle w:val="Heading1"/>
        <w:pBdr>
          <w:bottom w:val="single" w:color="3A72C9" w:sz="6" w:space="4"/>
        </w:pBdr>
        <w:spacing w:before="280" w:after="120"/>
      </w:pPr>
      <w:r>
        <w:rPr>
          <w:rFonts w:ascii="Arial" w:cs="Arial" w:eastAsia="Arial" w:hAnsi="Arial"/>
          <w:b/>
          <w:bCs/>
          <w:color w:val="1B2A4A"/>
          <w:sz w:val="28"/>
          <w:szCs w:val="28"/>
        </w:rPr>
        <w:t xml:space="preserve">8. CLEANING VALIDATION FRAMEWORK — SCHEDULE M REQUIREMENTS</w:t>
      </w:r>
    </w:p>
    <w:p>
      <w:pPr>
        <w:pStyle w:val="Heading2"/>
        <w:spacing w:before="200" w:after="80"/>
      </w:pPr>
      <w:r>
        <w:rPr>
          <w:rFonts w:ascii="Arial" w:cs="Arial" w:eastAsia="Arial" w:hAnsi="Arial"/>
          <w:b/>
          <w:bCs/>
          <w:color w:val="2E4D8A"/>
          <w:sz w:val="22"/>
          <w:szCs w:val="22"/>
        </w:rPr>
        <w:t xml:space="preserve">8.1 Cleaning Validation Master Plan (CVMP)</w:t>
      </w:r>
    </w:p>
    <w:p>
      <w:pPr>
        <w:spacing w:before="60" w:after="60"/>
      </w:pPr>
      <w:r>
        <w:rPr>
          <w:rFonts w:ascii="Arial" w:cs="Arial" w:eastAsia="Arial" w:hAnsi="Arial"/>
          <w:sz w:val="18"/>
          <w:szCs w:val="18"/>
        </w:rPr>
        <w:t xml:space="preserve">A site-level Cleaning Validation Master Plan [VAL-CVMP-001] shall be maintained by the Validation Manager and reviewed by QA annually. The CVMP shall define:</w:t>
      </w:r>
    </w:p>
    <w:p>
      <w:pPr>
        <w:pStyle w:val="ListParagraph"/>
        <w:numPr>
          <w:ilvl w:val="0"/>
          <w:numId w:val="2"/>
        </w:numPr>
        <w:spacing w:before="40" w:after="40"/>
      </w:pPr>
      <w:r>
        <w:rPr>
          <w:rFonts w:ascii="Arial" w:cs="Arial" w:eastAsia="Arial" w:hAnsi="Arial"/>
          <w:sz w:val="18"/>
          <w:szCs w:val="18"/>
        </w:rPr>
        <w:t xml:space="preserve">Scope of cleaning validation (all shared product-contact equipment)</w:t>
      </w:r>
    </w:p>
    <w:p>
      <w:pPr>
        <w:pStyle w:val="ListParagraph"/>
        <w:numPr>
          <w:ilvl w:val="0"/>
          <w:numId w:val="2"/>
        </w:numPr>
        <w:spacing w:before="40" w:after="40"/>
      </w:pPr>
      <w:r>
        <w:rPr>
          <w:rFonts w:ascii="Arial" w:cs="Arial" w:eastAsia="Arial" w:hAnsi="Arial"/>
          <w:sz w:val="18"/>
          <w:szCs w:val="18"/>
        </w:rPr>
        <w:t xml:space="preserve">Worst-case selection rationale (equipment and product)</w:t>
      </w:r>
    </w:p>
    <w:p>
      <w:pPr>
        <w:pStyle w:val="ListParagraph"/>
        <w:numPr>
          <w:ilvl w:val="0"/>
          <w:numId w:val="2"/>
        </w:numPr>
        <w:spacing w:before="40" w:after="40"/>
      </w:pPr>
      <w:r>
        <w:rPr>
          <w:rFonts w:ascii="Arial" w:cs="Arial" w:eastAsia="Arial" w:hAnsi="Arial"/>
          <w:sz w:val="18"/>
          <w:szCs w:val="18"/>
        </w:rPr>
        <w:t xml:space="preserve">Acceptance criteria philosophy (MACO, HBEL/PDE, 10 ppm, visually clean)</w:t>
      </w:r>
    </w:p>
    <w:p>
      <w:pPr>
        <w:pStyle w:val="ListParagraph"/>
        <w:numPr>
          <w:ilvl w:val="0"/>
          <w:numId w:val="2"/>
        </w:numPr>
        <w:spacing w:before="40" w:after="40"/>
      </w:pPr>
      <w:r>
        <w:rPr>
          <w:rFonts w:ascii="Arial" w:cs="Arial" w:eastAsia="Arial" w:hAnsi="Arial"/>
          <w:sz w:val="18"/>
          <w:szCs w:val="18"/>
        </w:rPr>
        <w:t xml:space="preserve">Number of consecutive validation runs (minimum 3, unless risk-justified)</w:t>
      </w:r>
    </w:p>
    <w:p>
      <w:pPr>
        <w:pStyle w:val="ListParagraph"/>
        <w:numPr>
          <w:ilvl w:val="0"/>
          <w:numId w:val="2"/>
        </w:numPr>
        <w:spacing w:before="40" w:after="40"/>
      </w:pPr>
      <w:r>
        <w:rPr>
          <w:rFonts w:ascii="Arial" w:cs="Arial" w:eastAsia="Arial" w:hAnsi="Arial"/>
          <w:sz w:val="18"/>
          <w:szCs w:val="18"/>
        </w:rPr>
        <w:t xml:space="preserve">Bracketing and matrixing approach with scientific justification</w:t>
      </w:r>
    </w:p>
    <w:p>
      <w:pPr>
        <w:pStyle w:val="ListParagraph"/>
        <w:numPr>
          <w:ilvl w:val="0"/>
          <w:numId w:val="2"/>
        </w:numPr>
        <w:spacing w:before="40" w:after="40"/>
      </w:pPr>
      <w:r>
        <w:rPr>
          <w:rFonts w:ascii="Arial" w:cs="Arial" w:eastAsia="Arial" w:hAnsi="Arial"/>
          <w:sz w:val="18"/>
          <w:szCs w:val="18"/>
        </w:rPr>
        <w:t xml:space="preserve">Sampling strategy (swab vs. rinse; surface area calculations)</w:t>
      </w:r>
    </w:p>
    <w:p>
      <w:pPr>
        <w:pStyle w:val="ListParagraph"/>
        <w:numPr>
          <w:ilvl w:val="0"/>
          <w:numId w:val="2"/>
        </w:numPr>
        <w:spacing w:before="40" w:after="40"/>
      </w:pPr>
      <w:r>
        <w:rPr>
          <w:rFonts w:ascii="Arial" w:cs="Arial" w:eastAsia="Arial" w:hAnsi="Arial"/>
          <w:sz w:val="18"/>
          <w:szCs w:val="18"/>
        </w:rPr>
        <w:t xml:space="preserve">Analytical methods and validation status (specificity, LOD, LOQ, recovery)</w:t>
      </w:r>
    </w:p>
    <w:p>
      <w:pPr>
        <w:pStyle w:val="ListParagraph"/>
        <w:numPr>
          <w:ilvl w:val="0"/>
          <w:numId w:val="2"/>
        </w:numPr>
        <w:spacing w:before="40" w:after="40"/>
      </w:pPr>
      <w:r>
        <w:rPr>
          <w:rFonts w:ascii="Arial" w:cs="Arial" w:eastAsia="Arial" w:hAnsi="Arial"/>
          <w:sz w:val="18"/>
          <w:szCs w:val="18"/>
        </w:rPr>
        <w:t xml:space="preserve">Lifecycle approach: initial validation, continued process verification (CPV), revalidation triggers</w:t>
      </w:r>
    </w:p>
    <w:p>
      <w:pPr>
        <w:spacing w:before="0" w:after="0"/>
      </w:pPr>
      <w:r>
        <w:rPr>
          <w:sz w:val="18"/>
          <w:szCs w:val="18"/>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0"/>
        <w:gridCol w:w="8126"/>
      </w:tblGrid>
      <w:tr>
        <w:tc>
          <w:tcPr>
            <w:tcW w:type="dxa" w:w="900"/>
            <w:tcBorders>
              <w:top w:val="single" w:color="1B2A4A" w:sz="4"/>
              <w:left w:val="single" w:color="1B2A4A" w:sz="4"/>
              <w:bottom w:val="single" w:color="1B2A4A" w:sz="4"/>
              <w:right w:val="single" w:color="1B2A4A" w:sz="4"/>
            </w:tcBorders>
            <w:shd w:fill="F8D7DA" w:val="clear"/>
            <w:tcMar>
              <w:top w:type="dxa" w:w="80"/>
              <w:left w:type="dxa" w:w="120"/>
              <w:bottom w:type="dxa" w:w="80"/>
              <w:right w:type="dxa" w:w="120"/>
            </w:tcMar>
            <w:vAlign w:val="center"/>
          </w:tcPr>
          <w:p>
            <w:pPr>
              <w:jc w:val="center"/>
            </w:pPr>
            <w:r>
              <w:rPr>
                <w:rFonts w:ascii="Arial" w:cs="Arial" w:eastAsia="Arial" w:hAnsi="Arial"/>
                <w:b/>
                <w:bCs/>
                <w:color w:val="1B2A4A"/>
                <w:sz w:val="18"/>
                <w:szCs w:val="18"/>
              </w:rPr>
              <w:t xml:space="preserve">SCHEDULE M REQUIREMENT</w:t>
            </w:r>
          </w:p>
        </w:tc>
        <w:tc>
          <w:tcPr>
            <w:tcW w:type="dxa" w:w="8126"/>
            <w:tcBorders>
              <w:top w:val="single" w:color="1B2A4A" w:sz="4"/>
              <w:left w:val="single" w:color="1B2A4A" w:sz="4"/>
              <w:bottom w:val="single" w:color="1B2A4A" w:sz="4"/>
              <w:right w:val="single" w:color="1B2A4A" w:sz="4"/>
            </w:tcBorders>
            <w:shd w:fill="F8D7DA" w:val="clear"/>
            <w:tcMar>
              <w:top w:type="dxa" w:w="80"/>
              <w:left w:type="dxa" w:w="140"/>
              <w:bottom w:type="dxa" w:w="80"/>
              <w:right w:type="dxa" w:w="140"/>
            </w:tcMar>
          </w:tcPr>
          <w:p>
            <w:r>
              <w:rPr>
                <w:rFonts w:ascii="Arial" w:cs="Arial" w:eastAsia="Arial" w:hAnsi="Arial"/>
                <w:i/>
                <w:iCs/>
                <w:sz w:val="18"/>
                <w:szCs w:val="18"/>
              </w:rPr>
              <w:t xml:space="preserve">Per the revised Schedule M (G.S.R.227(E)/2023), Health-Based Exposure Limits (HBEL/PDE) must be established for all APIs manufactured on shared equipment. HBEL calculations must be performed or reviewed by a qualified toxicologist and documented before cleaning validation acceptance criteria are finalised.</w:t>
            </w:r>
          </w:p>
        </w:tc>
      </w:tr>
    </w:tbl>
    <w:p>
      <w:pPr>
        <w:spacing w:before="0" w:after="0"/>
      </w:pPr>
      <w:r>
        <w:rPr>
          <w:sz w:val="18"/>
          <w:szCs w:val="18"/>
        </w:rPr>
        <w:t xml:space="preserve"/>
      </w:r>
    </w:p>
    <w:p>
      <w:pPr>
        <w:pStyle w:val="Heading2"/>
        <w:spacing w:before="200" w:after="80"/>
      </w:pPr>
      <w:r>
        <w:rPr>
          <w:rFonts w:ascii="Arial" w:cs="Arial" w:eastAsia="Arial" w:hAnsi="Arial"/>
          <w:b/>
          <w:bCs/>
          <w:color w:val="2E4D8A"/>
          <w:sz w:val="22"/>
          <w:szCs w:val="22"/>
        </w:rPr>
        <w:t xml:space="preserve">8.2 Acceptance Criteria — MACO Calculation</w:t>
      </w:r>
    </w:p>
    <w:p>
      <w:pPr>
        <w:spacing w:before="60" w:after="60"/>
      </w:pPr>
      <w:r>
        <w:rPr>
          <w:rFonts w:ascii="Arial" w:cs="Arial" w:eastAsia="Arial" w:hAnsi="Arial"/>
          <w:sz w:val="18"/>
          <w:szCs w:val="18"/>
        </w:rPr>
        <w:t xml:space="preserve">The Maximum Allowable Carry-Over (MACO) for Product A (previous product) into Product B (next product) shall be the most stringent of the following three criteria:</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800"/>
        <w:gridCol w:w="2600"/>
        <w:gridCol w:w="3426"/>
        <w:gridCol w:w="2200"/>
      </w:tblGrid>
      <w:tr>
        <w:trPr>
          <w:tblHeader/>
        </w:trPr>
        <w:tc>
          <w:tcPr>
            <w:tcW w:type="dxa" w:w="8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Criterion</w:t>
            </w:r>
          </w:p>
        </w:tc>
        <w:tc>
          <w:tcPr>
            <w:tcW w:type="dxa" w:w="26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Formula</w:t>
            </w:r>
          </w:p>
        </w:tc>
        <w:tc>
          <w:tcPr>
            <w:tcW w:type="dxa" w:w="3426"/>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Parameters</w:t>
            </w:r>
          </w:p>
        </w:tc>
        <w:tc>
          <w:tcPr>
            <w:tcW w:type="dxa" w:w="22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Typical Limit</w:t>
            </w:r>
          </w:p>
        </w:tc>
      </w:tr>
      <w:tr>
        <w:tc>
          <w:tcPr>
            <w:tcW w:type="dxa" w:w="8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1/1000th Dose</w:t>
            </w:r>
          </w:p>
        </w:tc>
        <w:tc>
          <w:tcPr>
            <w:tcW w:type="dxa" w:w="2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MACO = (TDD_A × BS_B) / (SF × LDD_A)</w:t>
            </w:r>
          </w:p>
        </w:tc>
        <w:tc>
          <w:tcPr>
            <w:tcW w:type="dxa" w:w="34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TDD_A = min. therapeutic daily dose of Product A; BS_B = batch size of Product B; SF = safety factor (1000); LDD_A = max. daily dose of Product B</w:t>
            </w:r>
          </w:p>
        </w:tc>
        <w:tc>
          <w:tcPr>
            <w:tcW w:type="dxa" w:w="2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Product-specific</w:t>
            </w:r>
          </w:p>
        </w:tc>
      </w:tr>
      <w:tr>
        <w:tc>
          <w:tcPr>
            <w:tcW w:type="dxa" w:w="8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10 ppm</w:t>
            </w:r>
          </w:p>
        </w:tc>
        <w:tc>
          <w:tcPr>
            <w:tcW w:type="dxa" w:w="2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MACO = 10 ppm × BS_B</w:t>
            </w:r>
          </w:p>
        </w:tc>
        <w:tc>
          <w:tcPr>
            <w:tcW w:type="dxa" w:w="34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BS_B = minimum batch size of Product B (smallest batch to be manufactured)</w:t>
            </w:r>
          </w:p>
        </w:tc>
        <w:tc>
          <w:tcPr>
            <w:tcW w:type="dxa" w:w="2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10 mg/kg (10 ppm)</w:t>
            </w:r>
          </w:p>
        </w:tc>
      </w:tr>
      <w:tr>
        <w:tc>
          <w:tcPr>
            <w:tcW w:type="dxa" w:w="8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HBEL / PDE</w:t>
            </w:r>
          </w:p>
        </w:tc>
        <w:tc>
          <w:tcPr>
            <w:tcW w:type="dxa" w:w="2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MACO = PDE_A × BS_B / MDD_B</w:t>
            </w:r>
          </w:p>
        </w:tc>
        <w:tc>
          <w:tcPr>
            <w:tcW w:type="dxa" w:w="34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PDE_A = Permitted Daily Exposure of Product A (toxicology assessment); MDD_B = max. daily dose of Product B</w:t>
            </w:r>
          </w:p>
        </w:tc>
        <w:tc>
          <w:tcPr>
            <w:tcW w:type="dxa" w:w="2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Compound-specific</w:t>
            </w:r>
          </w:p>
        </w:tc>
      </w:tr>
      <w:tr>
        <w:tc>
          <w:tcPr>
            <w:tcW w:type="dxa" w:w="8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Visually Clean</w:t>
            </w:r>
          </w:p>
        </w:tc>
        <w:tc>
          <w:tcPr>
            <w:tcW w:type="dxa" w:w="2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No visible residue at inspection</w:t>
            </w:r>
          </w:p>
        </w:tc>
        <w:tc>
          <w:tcPr>
            <w:tcW w:type="dxa" w:w="34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Must meet at minimum; not a substitute for analytical limits on shared equipment</w:t>
            </w:r>
          </w:p>
        </w:tc>
        <w:tc>
          <w:tcPr>
            <w:tcW w:type="dxa" w:w="2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0 visible residue</w:t>
            </w:r>
          </w:p>
        </w:tc>
      </w:tr>
    </w:tbl>
    <w:p>
      <w:pPr>
        <w:spacing w:before="60" w:after="60"/>
      </w:pPr>
      <w:r>
        <w:rPr>
          <w:rFonts w:ascii="Arial" w:cs="Arial" w:eastAsia="Arial" w:hAnsi="Arial"/>
          <w:i/>
          <w:iCs/>
          <w:sz w:val="18"/>
          <w:szCs w:val="18"/>
        </w:rPr>
        <w:t xml:space="preserve">The most stringent of the three calculated limits shall be adopted as the site acceptance criterion for the product pair (A → B). The selected criterion and calculation worksheet shall be documented in the Cleaning Validation Protocol.</w:t>
      </w:r>
    </w:p>
    <w:p>
      <w:pPr>
        <w:spacing w:before="0" w:after="0"/>
      </w:pPr>
      <w:r>
        <w:rPr>
          <w:sz w:val="18"/>
          <w:szCs w:val="18"/>
        </w:rPr>
        <w:t xml:space="preserve"/>
      </w:r>
    </w:p>
    <w:p>
      <w:pPr>
        <w:pStyle w:val="Heading2"/>
        <w:spacing w:before="200" w:after="80"/>
      </w:pPr>
      <w:r>
        <w:rPr>
          <w:rFonts w:ascii="Arial" w:cs="Arial" w:eastAsia="Arial" w:hAnsi="Arial"/>
          <w:b/>
          <w:bCs/>
          <w:color w:val="2E4D8A"/>
          <w:sz w:val="22"/>
          <w:szCs w:val="22"/>
        </w:rPr>
        <w:t xml:space="preserve">8.3 Sampling Strategy</w:t>
      </w:r>
    </w:p>
    <w:p>
      <w:pPr>
        <w:spacing w:before="60" w:after="60"/>
      </w:pPr>
      <w:r>
        <w:rPr>
          <w:rFonts w:ascii="Arial" w:cs="Arial" w:eastAsia="Arial" w:hAnsi="Arial"/>
          <w:sz w:val="18"/>
          <w:szCs w:val="18"/>
        </w:rPr>
        <w:t xml:space="preserve">The sampling approach for each piece of equipment shall be defined in the Equipment-Specific Cleaning Validation Protocol and shall consider:</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000"/>
        <w:gridCol w:w="3513"/>
        <w:gridCol w:w="3513"/>
      </w:tblGrid>
      <w:tr>
        <w:trPr>
          <w:tblHeader/>
        </w:trPr>
        <w:tc>
          <w:tcPr>
            <w:tcW w:type="dxa" w:w="20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Method</w:t>
            </w:r>
          </w:p>
        </w:tc>
        <w:tc>
          <w:tcPr>
            <w:tcW w:type="dxa" w:w="3513"/>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When to Use</w:t>
            </w:r>
          </w:p>
        </w:tc>
        <w:tc>
          <w:tcPr>
            <w:tcW w:type="dxa" w:w="3513"/>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Requirements</w:t>
            </w:r>
          </w:p>
        </w:tc>
      </w:tr>
      <w:tr>
        <w:tc>
          <w:tcPr>
            <w:tcW w:type="dxa" w:w="20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Swab Sampling</w:t>
            </w:r>
          </w:p>
        </w:tc>
        <w:tc>
          <w:tcPr>
            <w:tcW w:type="dxa" w:w="35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Preferred for accessible, flat product-contact surfaces; worst-case locations (e.g., weld seams, dead zones, crevices, seals)</w:t>
            </w:r>
          </w:p>
        </w:tc>
        <w:tc>
          <w:tcPr>
            <w:tcW w:type="dxa" w:w="35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Swab template (25 cm² or defined area); validated swab recovery (≥ 70%); swab material and solvent specified in method</w:t>
            </w:r>
          </w:p>
        </w:tc>
      </w:tr>
      <w:tr>
        <w:tc>
          <w:tcPr>
            <w:tcW w:type="dxa" w:w="20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Rinse Sampling</w:t>
            </w:r>
          </w:p>
        </w:tc>
        <w:tc>
          <w:tcPr>
            <w:tcW w:type="dxa" w:w="35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Used for complex equipment geometry (piping, heat exchangers); direct surface access not feasible</w:t>
            </w:r>
          </w:p>
        </w:tc>
        <w:tc>
          <w:tcPr>
            <w:tcW w:type="dxa" w:w="35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Defined rinse volume and surface area; TOC, conductivity, and/or specific analytical method; worst-case rinse point sampled</w:t>
            </w:r>
          </w:p>
        </w:tc>
      </w:tr>
      <w:tr>
        <w:tc>
          <w:tcPr>
            <w:tcW w:type="dxa" w:w="20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Placebo / Product Substitution</w:t>
            </w:r>
          </w:p>
        </w:tc>
        <w:tc>
          <w:tcPr>
            <w:tcW w:type="dxa" w:w="35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When direct sampling is not scientifically valid; limited use — must be justified in protocol</w:t>
            </w:r>
          </w:p>
        </w:tc>
        <w:tc>
          <w:tcPr>
            <w:tcW w:type="dxa" w:w="35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Placebo formulation matched to production batch; analytical method validated for placebo matrix</w:t>
            </w:r>
          </w:p>
        </w:tc>
      </w:tr>
    </w:tbl>
    <w:p>
      <w:pPr>
        <w:spacing w:before="0" w:after="0"/>
      </w:pPr>
      <w:r>
        <w:rPr>
          <w:sz w:val="18"/>
          <w:szCs w:val="18"/>
        </w:rPr>
        <w:t xml:space="preserve"/>
      </w:r>
    </w:p>
    <w:p>
      <w:pPr>
        <w:pStyle w:val="Heading1"/>
        <w:pBdr>
          <w:bottom w:val="single" w:color="3A72C9" w:sz="6" w:space="4"/>
        </w:pBdr>
        <w:spacing w:before="280" w:after="120"/>
      </w:pPr>
      <w:r>
        <w:rPr>
          <w:rFonts w:ascii="Arial" w:cs="Arial" w:eastAsia="Arial" w:hAnsi="Arial"/>
          <w:b/>
          <w:bCs/>
          <w:color w:val="1B2A4A"/>
          <w:sz w:val="28"/>
          <w:szCs w:val="28"/>
        </w:rPr>
        <w:t xml:space="preserve">9. CLEANING PROCEDURE</w:t>
      </w:r>
    </w:p>
    <w:p>
      <w:pPr>
        <w:pStyle w:val="Heading2"/>
        <w:spacing w:before="200" w:after="80"/>
      </w:pPr>
      <w:r>
        <w:rPr>
          <w:rFonts w:ascii="Arial" w:cs="Arial" w:eastAsia="Arial" w:hAnsi="Arial"/>
          <w:b/>
          <w:bCs/>
          <w:color w:val="2E4D8A"/>
          <w:sz w:val="22"/>
          <w:szCs w:val="22"/>
        </w:rPr>
        <w:t xml:space="preserve">9.1 Pre-Cleaning Checks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0"/>
        <w:gridCol w:w="8126"/>
      </w:tblGrid>
      <w:tr>
        <w:tc>
          <w:tcPr>
            <w:tcW w:type="dxa" w:w="900"/>
            <w:tcBorders>
              <w:top w:val="single" w:color="1B2A4A" w:sz="4"/>
              <w:left w:val="single" w:color="1B2A4A" w:sz="4"/>
              <w:bottom w:val="single" w:color="1B2A4A" w:sz="4"/>
              <w:right w:val="single" w:color="1B2A4A" w:sz="4"/>
            </w:tcBorders>
            <w:shd w:fill="FFF3CD" w:val="clear"/>
            <w:tcMar>
              <w:top w:type="dxa" w:w="80"/>
              <w:left w:type="dxa" w:w="120"/>
              <w:bottom w:type="dxa" w:w="80"/>
              <w:right w:type="dxa" w:w="120"/>
            </w:tcMar>
            <w:vAlign w:val="center"/>
          </w:tcPr>
          <w:p>
            <w:pPr>
              <w:jc w:val="center"/>
            </w:pPr>
            <w:r>
              <w:rPr>
                <w:rFonts w:ascii="Arial" w:cs="Arial" w:eastAsia="Arial" w:hAnsi="Arial"/>
                <w:b/>
                <w:bCs/>
                <w:color w:val="1B2A4A"/>
                <w:sz w:val="18"/>
                <w:szCs w:val="18"/>
              </w:rPr>
              <w:t xml:space="preserve">MANDATORY</w:t>
            </w:r>
          </w:p>
        </w:tc>
        <w:tc>
          <w:tcPr>
            <w:tcW w:type="dxa" w:w="8126"/>
            <w:tcBorders>
              <w:top w:val="single" w:color="1B2A4A" w:sz="4"/>
              <w:left w:val="single" w:color="1B2A4A" w:sz="4"/>
              <w:bottom w:val="single" w:color="1B2A4A" w:sz="4"/>
              <w:right w:val="single" w:color="1B2A4A" w:sz="4"/>
            </w:tcBorders>
            <w:shd w:fill="FFF3CD" w:val="clear"/>
            <w:tcMar>
              <w:top w:type="dxa" w:w="80"/>
              <w:left w:type="dxa" w:w="140"/>
              <w:bottom w:type="dxa" w:w="80"/>
              <w:right w:type="dxa" w:w="140"/>
            </w:tcMar>
          </w:tcPr>
          <w:p>
            <w:r>
              <w:rPr>
                <w:rFonts w:ascii="Arial" w:cs="Arial" w:eastAsia="Arial" w:hAnsi="Arial"/>
                <w:i/>
                <w:iCs/>
                <w:sz w:val="18"/>
                <w:szCs w:val="18"/>
              </w:rPr>
              <w:t xml:space="preserve">Complete all pre-cleaning checks and record in the Equipment Cleaning Logbook [FORM-CLN-LOG-001] before starting cleaning. Do NOT commence cleaning without Head Production or designee sign-off.</w:t>
            </w:r>
          </w:p>
        </w:tc>
      </w:tr>
    </w:tbl>
    <w:p>
      <w:pPr>
        <w:spacing w:before="0" w:after="0"/>
      </w:pPr>
      <w:r>
        <w:rPr>
          <w:sz w:val="18"/>
          <w:szCs w:val="18"/>
        </w:rPr>
        <w:t xml:space="preserve"/>
      </w:r>
    </w:p>
    <w:p>
      <w:pPr>
        <w:pStyle w:val="ListParagraph"/>
        <w:numPr>
          <w:ilvl w:val="0"/>
          <w:numId w:val="3"/>
        </w:numPr>
        <w:spacing w:before="60" w:after="60"/>
      </w:pPr>
      <w:r>
        <w:rPr>
          <w:rFonts w:ascii="Arial" w:cs="Arial" w:eastAsia="Arial" w:hAnsi="Arial"/>
          <w:sz w:val="18"/>
          <w:szCs w:val="18"/>
        </w:rPr>
        <w:t xml:space="preserve">Verify that the batch manufacturing record (BMR) for the previous batch has been closed or formally handed over, and that the 'READY FOR CLEANING' status label has been applied to the equipment by the Production Supervisor.</w:t>
      </w:r>
    </w:p>
    <w:p>
      <w:pPr>
        <w:pStyle w:val="ListParagraph"/>
        <w:numPr>
          <w:ilvl w:val="0"/>
          <w:numId w:val="3"/>
        </w:numPr>
        <w:spacing w:before="60" w:after="60"/>
      </w:pPr>
      <w:r>
        <w:rPr>
          <w:rFonts w:ascii="Arial" w:cs="Arial" w:eastAsia="Arial" w:hAnsi="Arial"/>
          <w:sz w:val="18"/>
          <w:szCs w:val="18"/>
        </w:rPr>
        <w:t xml:space="preserve">Check that the Dirty Hold Time (DHT) has not been exceeded. If DHT is exceeded, raise a deviation [DEV-FORM-001] and contact QA before proceeding.</w:t>
      </w:r>
    </w:p>
    <w:p>
      <w:pPr>
        <w:pStyle w:val="ListParagraph"/>
        <w:numPr>
          <w:ilvl w:val="0"/>
          <w:numId w:val="3"/>
        </w:numPr>
        <w:spacing w:before="60" w:after="60"/>
      </w:pPr>
      <w:r>
        <w:rPr>
          <w:rFonts w:ascii="Arial" w:cs="Arial" w:eastAsia="Arial" w:hAnsi="Arial"/>
          <w:sz w:val="18"/>
          <w:szCs w:val="18"/>
        </w:rPr>
        <w:t xml:space="preserve">Retrieve the Equipment-Specific Cleaning Instruction (ESCI) for the equipment ID from the SOP server or controlled document binder. Confirm the ESCI is current (valid version number and effective date).</w:t>
      </w:r>
    </w:p>
    <w:p>
      <w:pPr>
        <w:pStyle w:val="ListParagraph"/>
        <w:numPr>
          <w:ilvl w:val="0"/>
          <w:numId w:val="3"/>
        </w:numPr>
        <w:spacing w:before="60" w:after="60"/>
      </w:pPr>
      <w:r>
        <w:rPr>
          <w:rFonts w:ascii="Arial" w:cs="Arial" w:eastAsia="Arial" w:hAnsi="Arial"/>
          <w:sz w:val="18"/>
          <w:szCs w:val="18"/>
        </w:rPr>
        <w:t xml:space="preserve">Confirm availability of all required cleaning agents, tools, and PPE (gloves, eye protection, chemical-resistant apron where specified in the ESCI).</w:t>
      </w:r>
    </w:p>
    <w:p>
      <w:pPr>
        <w:pStyle w:val="ListParagraph"/>
        <w:numPr>
          <w:ilvl w:val="0"/>
          <w:numId w:val="3"/>
        </w:numPr>
        <w:spacing w:before="60" w:after="60"/>
      </w:pPr>
      <w:r>
        <w:rPr>
          <w:rFonts w:ascii="Arial" w:cs="Arial" w:eastAsia="Arial" w:hAnsi="Arial"/>
          <w:sz w:val="18"/>
          <w:szCs w:val="18"/>
        </w:rPr>
        <w:t xml:space="preserve">Identify the product to be manufactured next (from production schedule) and confirm that the cleaning procedure validated for the product transition (previous → next product) is specified in the ESCI.</w:t>
      </w:r>
    </w:p>
    <w:p>
      <w:pPr>
        <w:pStyle w:val="ListParagraph"/>
        <w:numPr>
          <w:ilvl w:val="0"/>
          <w:numId w:val="3"/>
        </w:numPr>
        <w:spacing w:before="60" w:after="60"/>
      </w:pPr>
      <w:r>
        <w:rPr>
          <w:rFonts w:ascii="Arial" w:cs="Arial" w:eastAsia="Arial" w:hAnsi="Arial"/>
          <w:sz w:val="18"/>
          <w:szCs w:val="18"/>
        </w:rPr>
        <w:t xml:space="preserve">Check that cleaning equipment (CIP spray balls, COP tank, brushes) is clean, undamaged, and in a CLEAN status; record checks in the logbook.</w:t>
      </w:r>
    </w:p>
    <w:p>
      <w:pPr>
        <w:spacing w:before="0" w:after="0"/>
      </w:pPr>
      <w:r>
        <w:rPr>
          <w:sz w:val="18"/>
          <w:szCs w:val="18"/>
        </w:rPr>
        <w:t xml:space="preserve"/>
      </w:r>
    </w:p>
    <w:p>
      <w:pPr>
        <w:pStyle w:val="Heading2"/>
        <w:spacing w:before="200" w:after="80"/>
      </w:pPr>
      <w:r>
        <w:rPr>
          <w:rFonts w:ascii="Arial" w:cs="Arial" w:eastAsia="Arial" w:hAnsi="Arial"/>
          <w:b/>
          <w:bCs/>
          <w:color w:val="2E4D8A"/>
          <w:sz w:val="22"/>
          <w:szCs w:val="22"/>
        </w:rPr>
        <w:t xml:space="preserve">9.2 Disassembly &amp; Initial Rinse</w:t>
      </w:r>
    </w:p>
    <w:p>
      <w:pPr>
        <w:pStyle w:val="ListParagraph"/>
        <w:numPr>
          <w:ilvl w:val="0"/>
          <w:numId w:val="3"/>
        </w:numPr>
        <w:spacing w:before="60" w:after="60"/>
      </w:pPr>
      <w:r>
        <w:rPr>
          <w:rFonts w:ascii="Arial" w:cs="Arial" w:eastAsia="Arial" w:hAnsi="Arial"/>
          <w:sz w:val="18"/>
          <w:szCs w:val="18"/>
        </w:rPr>
        <w:t xml:space="preserve">Disassemble all removable product-contact parts per the Equipment Disassembly SOP [SOP-ENG-DIS-XXX] or as specified in the ESCI. Handle parts carefully to avoid cross-contamination.</w:t>
      </w:r>
    </w:p>
    <w:p>
      <w:pPr>
        <w:pStyle w:val="ListParagraph"/>
        <w:numPr>
          <w:ilvl w:val="0"/>
          <w:numId w:val="3"/>
        </w:numPr>
        <w:spacing w:before="60" w:after="60"/>
      </w:pPr>
      <w:r>
        <w:rPr>
          <w:rFonts w:ascii="Arial" w:cs="Arial" w:eastAsia="Arial" w:hAnsi="Arial"/>
          <w:sz w:val="18"/>
          <w:szCs w:val="18"/>
        </w:rPr>
        <w:t xml:space="preserve">Perform a pre-rinse with ambient Purified Water to remove gross product residues. This rinse is waste — do not collect for testing.</w:t>
      </w:r>
    </w:p>
    <w:p>
      <w:pPr>
        <w:pStyle w:val="ListParagraph"/>
        <w:numPr>
          <w:ilvl w:val="0"/>
          <w:numId w:val="3"/>
        </w:numPr>
        <w:spacing w:before="60" w:after="60"/>
      </w:pPr>
      <w:r>
        <w:rPr>
          <w:rFonts w:ascii="Arial" w:cs="Arial" w:eastAsia="Arial" w:hAnsi="Arial"/>
          <w:sz w:val="18"/>
          <w:szCs w:val="18"/>
        </w:rPr>
        <w:t xml:space="preserve">Remove all visible product residue from difficult-to-clean locations (seals, gaskets, dead zones) using a dedicated non-shedding brush. Record any unusual residue or damage observed.</w:t>
      </w:r>
    </w:p>
    <w:p>
      <w:pPr>
        <w:spacing w:before="0" w:after="0"/>
      </w:pPr>
      <w:r>
        <w:rPr>
          <w:sz w:val="18"/>
          <w:szCs w:val="18"/>
        </w:rPr>
        <w:t xml:space="preserve"/>
      </w:r>
    </w:p>
    <w:p>
      <w:pPr>
        <w:pStyle w:val="Heading2"/>
        <w:spacing w:before="200" w:after="80"/>
      </w:pPr>
      <w:r>
        <w:rPr>
          <w:rFonts w:ascii="Arial" w:cs="Arial" w:eastAsia="Arial" w:hAnsi="Arial"/>
          <w:b/>
          <w:bCs/>
          <w:color w:val="2E4D8A"/>
          <w:sz w:val="22"/>
          <w:szCs w:val="22"/>
        </w:rPr>
        <w:t xml:space="preserve">9.3 Main Cleaning — CIP or Manual Wash</w:t>
      </w:r>
    </w:p>
    <w:p>
      <w:pPr>
        <w:spacing w:before="160" w:after="60"/>
      </w:pPr>
      <w:r>
        <w:rPr>
          <w:rFonts w:ascii="Arial" w:cs="Arial" w:eastAsia="Arial" w:hAnsi="Arial"/>
          <w:b/>
          <w:bCs/>
          <w:color w:val="3A72C9"/>
          <w:sz w:val="20"/>
          <w:szCs w:val="20"/>
        </w:rPr>
        <w:t xml:space="preserve">CIP (Cleaning-in-Place):</w:t>
      </w:r>
    </w:p>
    <w:p>
      <w:pPr>
        <w:pStyle w:val="ListParagraph"/>
        <w:numPr>
          <w:ilvl w:val="0"/>
          <w:numId w:val="3"/>
        </w:numPr>
        <w:spacing w:before="60" w:after="60"/>
      </w:pPr>
      <w:r>
        <w:rPr>
          <w:rFonts w:ascii="Arial" w:cs="Arial" w:eastAsia="Arial" w:hAnsi="Arial"/>
          <w:sz w:val="18"/>
          <w:szCs w:val="18"/>
        </w:rPr>
        <w:t xml:space="preserve">Initiate the validated CIP cycle as specified in the ESCI. CIP parameters (cleaning agent concentration, temperature, flow rate, time, number of rinse cycles) are fixed in the BMS/PLC and must not be altered without change control.</w:t>
      </w:r>
    </w:p>
    <w:p>
      <w:pPr>
        <w:pStyle w:val="ListParagraph"/>
        <w:numPr>
          <w:ilvl w:val="0"/>
          <w:numId w:val="3"/>
        </w:numPr>
        <w:spacing w:before="60" w:after="60"/>
      </w:pPr>
      <w:r>
        <w:rPr>
          <w:rFonts w:ascii="Arial" w:cs="Arial" w:eastAsia="Arial" w:hAnsi="Arial"/>
          <w:sz w:val="18"/>
          <w:szCs w:val="18"/>
        </w:rPr>
        <w:t xml:space="preserve">Verify CIP cycle completion on the BMS printout; confirm all parameters are within validated ranges. If any parameter is out of range, stop and raise a deviation before proceeding.</w:t>
      </w:r>
    </w:p>
    <w:p>
      <w:pPr>
        <w:pStyle w:val="ListParagraph"/>
        <w:numPr>
          <w:ilvl w:val="0"/>
          <w:numId w:val="3"/>
        </w:numPr>
        <w:spacing w:before="60" w:after="60"/>
      </w:pPr>
      <w:r>
        <w:rPr>
          <w:rFonts w:ascii="Arial" w:cs="Arial" w:eastAsia="Arial" w:hAnsi="Arial"/>
          <w:sz w:val="18"/>
          <w:szCs w:val="18"/>
        </w:rPr>
        <w:t xml:space="preserve">Collect a rinse water sample from the designated sampling point at the end of the final rinse. Label with: equipment ID, cleaning cycle reference, date, analyst, and sample number.</w:t>
      </w:r>
    </w:p>
    <w:p>
      <w:pPr>
        <w:spacing w:before="0" w:after="0"/>
      </w:pPr>
      <w:r>
        <w:rPr>
          <w:sz w:val="18"/>
          <w:szCs w:val="18"/>
        </w:rPr>
        <w:t xml:space="preserve"/>
      </w:r>
    </w:p>
    <w:p>
      <w:pPr>
        <w:spacing w:before="160" w:after="60"/>
      </w:pPr>
      <w:r>
        <w:rPr>
          <w:rFonts w:ascii="Arial" w:cs="Arial" w:eastAsia="Arial" w:hAnsi="Arial"/>
          <w:b/>
          <w:bCs/>
          <w:color w:val="3A72C9"/>
          <w:sz w:val="20"/>
          <w:szCs w:val="20"/>
        </w:rPr>
        <w:t xml:space="preserve">Manual Wash (COP / Hand-Wash):</w:t>
      </w:r>
    </w:p>
    <w:p>
      <w:pPr>
        <w:pStyle w:val="ListParagraph"/>
        <w:numPr>
          <w:ilvl w:val="0"/>
          <w:numId w:val="3"/>
        </w:numPr>
        <w:spacing w:before="60" w:after="60"/>
      </w:pPr>
      <w:r>
        <w:rPr>
          <w:rFonts w:ascii="Arial" w:cs="Arial" w:eastAsia="Arial" w:hAnsi="Arial"/>
          <w:sz w:val="18"/>
          <w:szCs w:val="18"/>
        </w:rPr>
        <w:t xml:space="preserve">Prepare the cleaning solution at the validated concentration using Purified Water. Record: cleaning agent, batch number, concentration, water volume, preparation date, and operator initials in the logbook.</w:t>
      </w:r>
    </w:p>
    <w:p>
      <w:pPr>
        <w:pStyle w:val="ListParagraph"/>
        <w:numPr>
          <w:ilvl w:val="0"/>
          <w:numId w:val="3"/>
        </w:numPr>
        <w:spacing w:before="60" w:after="60"/>
      </w:pPr>
      <w:r>
        <w:rPr>
          <w:rFonts w:ascii="Arial" w:cs="Arial" w:eastAsia="Arial" w:hAnsi="Arial"/>
          <w:sz w:val="18"/>
          <w:szCs w:val="18"/>
        </w:rPr>
        <w:t xml:space="preserve">Apply cleaning solution to all product-contact surfaces using the approved method (immersion / spray / manual scrubbing) for the validated contact time. Use non-shedding wipes or dedicated brushes.</w:t>
      </w:r>
    </w:p>
    <w:p>
      <w:pPr>
        <w:pStyle w:val="ListParagraph"/>
        <w:numPr>
          <w:ilvl w:val="0"/>
          <w:numId w:val="3"/>
        </w:numPr>
        <w:spacing w:before="60" w:after="60"/>
      </w:pPr>
      <w:r>
        <w:rPr>
          <w:rFonts w:ascii="Arial" w:cs="Arial" w:eastAsia="Arial" w:hAnsi="Arial"/>
          <w:sz w:val="18"/>
          <w:szCs w:val="18"/>
        </w:rPr>
        <w:t xml:space="preserve">Rinse with Purified Water (minimum volume and number of rinse cycles as specified in the ESCI). Final rinse must use freshly prepared Purified Water that meets IP/USP specification.</w:t>
      </w:r>
    </w:p>
    <w:p>
      <w:pPr>
        <w:spacing w:before="0" w:after="0"/>
      </w:pPr>
      <w:r>
        <w:rPr>
          <w:sz w:val="18"/>
          <w:szCs w:val="18"/>
        </w:rPr>
        <w:t xml:space="preserve"/>
      </w:r>
    </w:p>
    <w:p>
      <w:pPr>
        <w:pStyle w:val="Heading2"/>
        <w:spacing w:before="200" w:after="80"/>
      </w:pPr>
      <w:r>
        <w:rPr>
          <w:rFonts w:ascii="Arial" w:cs="Arial" w:eastAsia="Arial" w:hAnsi="Arial"/>
          <w:b/>
          <w:bCs/>
          <w:color w:val="2E4D8A"/>
          <w:sz w:val="22"/>
          <w:szCs w:val="22"/>
        </w:rPr>
        <w:t xml:space="preserve">9.4 Rinse Water Acceptance Testing</w:t>
      </w:r>
    </w:p>
    <w:p>
      <w:pPr>
        <w:spacing w:before="60" w:after="60"/>
      </w:pPr>
      <w:r>
        <w:rPr>
          <w:rFonts w:ascii="Arial" w:cs="Arial" w:eastAsia="Arial" w:hAnsi="Arial"/>
          <w:sz w:val="18"/>
          <w:szCs w:val="18"/>
        </w:rPr>
        <w:t xml:space="preserve">The final rinse water shall be tested against the following minimum criteria before equipment is released as CLEAN:</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00"/>
        <w:gridCol w:w="2400"/>
        <w:gridCol w:w="2200"/>
        <w:gridCol w:w="2226"/>
      </w:tblGrid>
      <w:tr>
        <w:trPr>
          <w:tblHeader/>
        </w:trPr>
        <w:tc>
          <w:tcPr>
            <w:tcW w:type="dxa" w:w="22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Parameter</w:t>
            </w:r>
          </w:p>
        </w:tc>
        <w:tc>
          <w:tcPr>
            <w:tcW w:type="dxa" w:w="24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Method</w:t>
            </w:r>
          </w:p>
        </w:tc>
        <w:tc>
          <w:tcPr>
            <w:tcW w:type="dxa" w:w="22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Acceptance Criterion</w:t>
            </w:r>
          </w:p>
        </w:tc>
        <w:tc>
          <w:tcPr>
            <w:tcW w:type="dxa" w:w="2226"/>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Frequency</w:t>
            </w:r>
          </w:p>
        </w:tc>
      </w:tr>
      <w:tr>
        <w:tc>
          <w:tcPr>
            <w:tcW w:type="dxa" w:w="22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Total Organic Carbon (TOC)</w:t>
            </w:r>
          </w:p>
        </w:tc>
        <w:tc>
          <w:tcPr>
            <w:tcW w:type="dxa" w:w="24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USP &lt;643&gt; / validated TOC analyser</w:t>
            </w:r>
          </w:p>
        </w:tc>
        <w:tc>
          <w:tcPr>
            <w:tcW w:type="dxa" w:w="2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[X] ppb (product-specific; from MACO calculation)</w:t>
            </w:r>
          </w:p>
        </w:tc>
        <w:tc>
          <w:tcPr>
            <w:tcW w:type="dxa" w:w="2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Each cleaning run</w:t>
            </w:r>
          </w:p>
        </w:tc>
      </w:tr>
      <w:tr>
        <w:tc>
          <w:tcPr>
            <w:tcW w:type="dxa" w:w="22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Conductivity</w:t>
            </w:r>
          </w:p>
        </w:tc>
        <w:tc>
          <w:tcPr>
            <w:tcW w:type="dxa" w:w="24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IP / USP — calibrated meter</w:t>
            </w:r>
          </w:p>
        </w:tc>
        <w:tc>
          <w:tcPr>
            <w:tcW w:type="dxa" w:w="2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4.3 µS/cm at 25°C (PW specification)</w:t>
            </w:r>
          </w:p>
        </w:tc>
        <w:tc>
          <w:tcPr>
            <w:tcW w:type="dxa" w:w="2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Each cleaning run</w:t>
            </w:r>
          </w:p>
        </w:tc>
      </w:tr>
      <w:tr>
        <w:tc>
          <w:tcPr>
            <w:tcW w:type="dxa" w:w="22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pH</w:t>
            </w:r>
          </w:p>
        </w:tc>
        <w:tc>
          <w:tcPr>
            <w:tcW w:type="dxa" w:w="24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Calibrated pH meter / indicator</w:t>
            </w:r>
          </w:p>
        </w:tc>
        <w:tc>
          <w:tcPr>
            <w:tcW w:type="dxa" w:w="2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5.0 – 7.0 (or cleaning agent specific)</w:t>
            </w:r>
          </w:p>
        </w:tc>
        <w:tc>
          <w:tcPr>
            <w:tcW w:type="dxa" w:w="2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Each cleaning run</w:t>
            </w:r>
          </w:p>
        </w:tc>
      </w:tr>
      <w:tr>
        <w:tc>
          <w:tcPr>
            <w:tcW w:type="dxa" w:w="22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Cleaning Agent Residue</w:t>
            </w:r>
          </w:p>
        </w:tc>
        <w:tc>
          <w:tcPr>
            <w:tcW w:type="dxa" w:w="24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Validated specific method (HPLC/colorimetric)</w:t>
            </w:r>
          </w:p>
        </w:tc>
        <w:tc>
          <w:tcPr>
            <w:tcW w:type="dxa" w:w="2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[X] ppm (validated residue limit)</w:t>
            </w:r>
          </w:p>
        </w:tc>
        <w:tc>
          <w:tcPr>
            <w:tcW w:type="dxa" w:w="2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As specified in ESCI / CVP</w:t>
            </w:r>
          </w:p>
        </w:tc>
      </w:tr>
      <w:tr>
        <w:tc>
          <w:tcPr>
            <w:tcW w:type="dxa" w:w="22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Microbial Count (if applicable)</w:t>
            </w:r>
          </w:p>
        </w:tc>
        <w:tc>
          <w:tcPr>
            <w:tcW w:type="dxa" w:w="24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USP &lt;61&gt; / membrane filtration</w:t>
            </w:r>
          </w:p>
        </w:tc>
        <w:tc>
          <w:tcPr>
            <w:tcW w:type="dxa" w:w="2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100 CFU/mL (or area classification limit)</w:t>
            </w:r>
          </w:p>
        </w:tc>
        <w:tc>
          <w:tcPr>
            <w:tcW w:type="dxa" w:w="2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Per EM programme schedule</w:t>
            </w:r>
          </w:p>
        </w:tc>
      </w:tr>
      <w:tr>
        <w:tc>
          <w:tcPr>
            <w:tcW w:type="dxa" w:w="22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Visual Inspection</w:t>
            </w:r>
          </w:p>
        </w:tc>
        <w:tc>
          <w:tcPr>
            <w:tcW w:type="dxa" w:w="24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Trained operator — adequate lighting (≥ 500 lux)</w:t>
            </w:r>
          </w:p>
        </w:tc>
        <w:tc>
          <w:tcPr>
            <w:tcW w:type="dxa" w:w="2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No visible residue, colour, or turbidity</w:t>
            </w:r>
          </w:p>
        </w:tc>
        <w:tc>
          <w:tcPr>
            <w:tcW w:type="dxa" w:w="2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Each cleaning run</w:t>
            </w:r>
          </w:p>
        </w:tc>
      </w:tr>
    </w:tbl>
    <w:p>
      <w:pPr>
        <w:spacing w:before="0" w:after="0"/>
      </w:pPr>
      <w:r>
        <w:rPr>
          <w:sz w:val="18"/>
          <w:szCs w:val="18"/>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0"/>
        <w:gridCol w:w="8126"/>
      </w:tblGrid>
      <w:tr>
        <w:tc>
          <w:tcPr>
            <w:tcW w:type="dxa" w:w="900"/>
            <w:tcBorders>
              <w:top w:val="single" w:color="1B2A4A" w:sz="4"/>
              <w:left w:val="single" w:color="1B2A4A" w:sz="4"/>
              <w:bottom w:val="single" w:color="1B2A4A" w:sz="4"/>
              <w:right w:val="single" w:color="1B2A4A" w:sz="4"/>
            </w:tcBorders>
            <w:shd w:fill="F8D7DA" w:val="clear"/>
            <w:tcMar>
              <w:top w:type="dxa" w:w="80"/>
              <w:left w:type="dxa" w:w="120"/>
              <w:bottom w:type="dxa" w:w="80"/>
              <w:right w:type="dxa" w:w="120"/>
            </w:tcMar>
            <w:vAlign w:val="center"/>
          </w:tcPr>
          <w:p>
            <w:pPr>
              <w:jc w:val="center"/>
            </w:pPr>
            <w:r>
              <w:rPr>
                <w:rFonts w:ascii="Arial" w:cs="Arial" w:eastAsia="Arial" w:hAnsi="Arial"/>
                <w:b/>
                <w:bCs/>
                <w:color w:val="1B2A4A"/>
                <w:sz w:val="18"/>
                <w:szCs w:val="18"/>
              </w:rPr>
              <w:t xml:space="preserve">OOS ACTION</w:t>
            </w:r>
          </w:p>
        </w:tc>
        <w:tc>
          <w:tcPr>
            <w:tcW w:type="dxa" w:w="8126"/>
            <w:tcBorders>
              <w:top w:val="single" w:color="1B2A4A" w:sz="4"/>
              <w:left w:val="single" w:color="1B2A4A" w:sz="4"/>
              <w:bottom w:val="single" w:color="1B2A4A" w:sz="4"/>
              <w:right w:val="single" w:color="1B2A4A" w:sz="4"/>
            </w:tcBorders>
            <w:shd w:fill="F8D7DA" w:val="clear"/>
            <w:tcMar>
              <w:top w:type="dxa" w:w="80"/>
              <w:left w:type="dxa" w:w="140"/>
              <w:bottom w:type="dxa" w:w="80"/>
              <w:right w:type="dxa" w:w="140"/>
            </w:tcMar>
          </w:tcPr>
          <w:p>
            <w:r>
              <w:rPr>
                <w:rFonts w:ascii="Arial" w:cs="Arial" w:eastAsia="Arial" w:hAnsi="Arial"/>
                <w:i/>
                <w:iCs/>
                <w:sz w:val="18"/>
                <w:szCs w:val="18"/>
              </w:rPr>
              <w:t xml:space="preserve">If any rinse water parameter fails the acceptance criterion, do NOT release the equipment. Re-clean per the ESCI, collect a new sample, and re-test. After two consecutive failures, raise an OOS/deviation and contact Head QA. Do not attempt a third re-clean without QA authorisation.</w:t>
            </w:r>
          </w:p>
        </w:tc>
      </w:tr>
    </w:tbl>
    <w:p>
      <w:pPr>
        <w:spacing w:before="0" w:after="0"/>
      </w:pPr>
      <w:r>
        <w:rPr>
          <w:sz w:val="18"/>
          <w:szCs w:val="18"/>
        </w:rPr>
        <w:t xml:space="preserve"/>
      </w:r>
    </w:p>
    <w:p>
      <w:pPr>
        <w:pStyle w:val="Heading2"/>
        <w:spacing w:before="200" w:after="80"/>
      </w:pPr>
      <w:r>
        <w:rPr>
          <w:rFonts w:ascii="Arial" w:cs="Arial" w:eastAsia="Arial" w:hAnsi="Arial"/>
          <w:b/>
          <w:bCs/>
          <w:color w:val="2E4D8A"/>
          <w:sz w:val="22"/>
          <w:szCs w:val="22"/>
        </w:rPr>
        <w:t xml:space="preserve">9.5 Drying &amp; Inspection</w:t>
      </w:r>
    </w:p>
    <w:p>
      <w:pPr>
        <w:pStyle w:val="ListParagraph"/>
        <w:numPr>
          <w:ilvl w:val="0"/>
          <w:numId w:val="3"/>
        </w:numPr>
        <w:spacing w:before="60" w:after="60"/>
      </w:pPr>
      <w:r>
        <w:rPr>
          <w:rFonts w:ascii="Arial" w:cs="Arial" w:eastAsia="Arial" w:hAnsi="Arial"/>
          <w:sz w:val="18"/>
          <w:szCs w:val="18"/>
        </w:rPr>
        <w:t xml:space="preserve">Dry all equipment surfaces thoroughly using compressed air (oil-free, filtered) or in a validated drying oven at the temperature specified in the ESCI. No water droplets or moisture pockets should remain.</w:t>
      </w:r>
    </w:p>
    <w:p>
      <w:pPr>
        <w:pStyle w:val="ListParagraph"/>
        <w:numPr>
          <w:ilvl w:val="0"/>
          <w:numId w:val="3"/>
        </w:numPr>
        <w:spacing w:before="60" w:after="60"/>
      </w:pPr>
      <w:r>
        <w:rPr>
          <w:rFonts w:ascii="Arial" w:cs="Arial" w:eastAsia="Arial" w:hAnsi="Arial"/>
          <w:sz w:val="18"/>
          <w:szCs w:val="18"/>
        </w:rPr>
        <w:t xml:space="preserve">Perform final visual inspection under adequate lighting (minimum 500 lux) for: residue, discolouration, corrosion, pitting, damaged seals/gaskets, or contamination. Record inspection results.</w:t>
      </w:r>
    </w:p>
    <w:p>
      <w:pPr>
        <w:pStyle w:val="ListParagraph"/>
        <w:numPr>
          <w:ilvl w:val="0"/>
          <w:numId w:val="3"/>
        </w:numPr>
        <w:spacing w:before="60" w:after="60"/>
      </w:pPr>
      <w:r>
        <w:rPr>
          <w:rFonts w:ascii="Arial" w:cs="Arial" w:eastAsia="Arial" w:hAnsi="Arial"/>
          <w:sz w:val="18"/>
          <w:szCs w:val="18"/>
        </w:rPr>
        <w:t xml:space="preserve">If visual inspection fails: re-clean and re-inspect. Record finding as a deviation if the root cause is unclear.</w:t>
      </w:r>
    </w:p>
    <w:p>
      <w:pPr>
        <w:pStyle w:val="ListParagraph"/>
        <w:numPr>
          <w:ilvl w:val="0"/>
          <w:numId w:val="3"/>
        </w:numPr>
        <w:spacing w:before="60" w:after="60"/>
      </w:pPr>
      <w:r>
        <w:rPr>
          <w:rFonts w:ascii="Arial" w:cs="Arial" w:eastAsia="Arial" w:hAnsi="Arial"/>
          <w:sz w:val="18"/>
          <w:szCs w:val="18"/>
        </w:rPr>
        <w:t xml:space="preserve">Inspect equipment surfaces for physical damage, wear, or loss of surface finish. Flag damaged items for Engineering review before returning to service.</w:t>
      </w:r>
    </w:p>
    <w:p>
      <w:pPr>
        <w:spacing w:before="0" w:after="0"/>
      </w:pPr>
      <w:r>
        <w:rPr>
          <w:sz w:val="18"/>
          <w:szCs w:val="18"/>
        </w:rPr>
        <w:t xml:space="preserve"/>
      </w:r>
    </w:p>
    <w:p>
      <w:pPr>
        <w:pStyle w:val="Heading2"/>
        <w:spacing w:before="200" w:after="80"/>
      </w:pPr>
      <w:r>
        <w:rPr>
          <w:rFonts w:ascii="Arial" w:cs="Arial" w:eastAsia="Arial" w:hAnsi="Arial"/>
          <w:b/>
          <w:bCs/>
          <w:color w:val="2E4D8A"/>
          <w:sz w:val="22"/>
          <w:szCs w:val="22"/>
        </w:rPr>
        <w:t xml:space="preserve">9.6 Reassembly &amp; Clean Status Labelling</w:t>
      </w:r>
    </w:p>
    <w:p>
      <w:pPr>
        <w:pStyle w:val="ListParagraph"/>
        <w:numPr>
          <w:ilvl w:val="0"/>
          <w:numId w:val="3"/>
        </w:numPr>
        <w:spacing w:before="60" w:after="60"/>
      </w:pPr>
      <w:r>
        <w:rPr>
          <w:rFonts w:ascii="Arial" w:cs="Arial" w:eastAsia="Arial" w:hAnsi="Arial"/>
          <w:sz w:val="18"/>
          <w:szCs w:val="18"/>
        </w:rPr>
        <w:t xml:space="preserve">Reassemble equipment per the ESCI or Reassembly SOP. Verify correct gasket/seal installation; no cross-threading or missing fasteners.</w:t>
      </w:r>
    </w:p>
    <w:p>
      <w:pPr>
        <w:pStyle w:val="ListParagraph"/>
        <w:numPr>
          <w:ilvl w:val="0"/>
          <w:numId w:val="3"/>
        </w:numPr>
        <w:spacing w:before="60" w:after="60"/>
      </w:pPr>
      <w:r>
        <w:rPr>
          <w:rFonts w:ascii="Arial" w:cs="Arial" w:eastAsia="Arial" w:hAnsi="Arial"/>
          <w:sz w:val="18"/>
          <w:szCs w:val="18"/>
        </w:rPr>
        <w:t xml:space="preserve">Apply a CLEAN status label showing: equipment ID, product cleaned from, date/time cleaned, cleaned by (name, initials), Clean Hold Time expiry (CHT expiry = cleaning date/time + validated CHT), and SOP/ESCI reference.</w:t>
      </w:r>
    </w:p>
    <w:p>
      <w:pPr>
        <w:pStyle w:val="ListParagraph"/>
        <w:numPr>
          <w:ilvl w:val="0"/>
          <w:numId w:val="3"/>
        </w:numPr>
        <w:spacing w:before="60" w:after="60"/>
      </w:pPr>
      <w:r>
        <w:rPr>
          <w:rFonts w:ascii="Arial" w:cs="Arial" w:eastAsia="Arial" w:hAnsi="Arial"/>
          <w:sz w:val="18"/>
          <w:szCs w:val="18"/>
        </w:rPr>
        <w:t xml:space="preserve">Update the Equipment Logbook [FORM-ENG-LOG-XXX] with: cleaning cycle reference, date/time, operator, QC rinse sample reference, visual inspection pass, and status change to CLEAN.</w:t>
      </w:r>
    </w:p>
    <w:p>
      <w:pPr>
        <w:pStyle w:val="ListParagraph"/>
        <w:numPr>
          <w:ilvl w:val="0"/>
          <w:numId w:val="3"/>
        </w:numPr>
        <w:spacing w:before="60" w:after="60"/>
      </w:pPr>
      <w:r>
        <w:rPr>
          <w:rFonts w:ascii="Arial" w:cs="Arial" w:eastAsia="Arial" w:hAnsi="Arial"/>
          <w:sz w:val="18"/>
          <w:szCs w:val="18"/>
        </w:rPr>
        <w:t xml:space="preserve">Store cleaned equipment in a designated, enclosed, clean area. Do not store cleaned equipment in the open environment longer than validated CHT.</w:t>
      </w:r>
    </w:p>
    <w:p>
      <w:pPr>
        <w:spacing w:before="0" w:after="0"/>
      </w:pPr>
      <w:r>
        <w:rPr>
          <w:sz w:val="18"/>
          <w:szCs w:val="18"/>
        </w:rPr>
        <w:t xml:space="preserve"/>
      </w:r>
    </w:p>
    <w:p>
      <w:pPr>
        <w:pStyle w:val="Heading1"/>
        <w:pBdr>
          <w:bottom w:val="single" w:color="3A72C9" w:sz="6" w:space="4"/>
        </w:pBdr>
        <w:spacing w:before="280" w:after="120"/>
      </w:pPr>
      <w:r>
        <w:rPr>
          <w:rFonts w:ascii="Arial" w:cs="Arial" w:eastAsia="Arial" w:hAnsi="Arial"/>
          <w:b/>
          <w:bCs/>
          <w:color w:val="1B2A4A"/>
          <w:sz w:val="28"/>
          <w:szCs w:val="28"/>
        </w:rPr>
        <w:t xml:space="preserve">10. LINE CLEARANCE BEFORE NEXT PRODUCTION</w:t>
      </w:r>
    </w:p>
    <w:p>
      <w:pPr>
        <w:spacing w:before="60" w:after="60"/>
      </w:pPr>
      <w:r>
        <w:rPr>
          <w:rFonts w:ascii="Arial" w:cs="Arial" w:eastAsia="Arial" w:hAnsi="Arial"/>
          <w:sz w:val="18"/>
          <w:szCs w:val="18"/>
        </w:rPr>
        <w:t xml:space="preserve">A formal line clearance must be completed by the Production Supervisor and countersigned by QA (or designee) before the next batch commences on the cleaned equipment. Line clearance shall verify:</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00"/>
        <w:gridCol w:w="5413"/>
        <w:gridCol w:w="3213"/>
      </w:tblGrid>
      <w:tr>
        <w:trPr>
          <w:tblHeader/>
        </w:trPr>
        <w:tc>
          <w:tcPr>
            <w:tcW w:type="dxa" w:w="4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w:t>
            </w:r>
          </w:p>
        </w:tc>
        <w:tc>
          <w:tcPr>
            <w:tcW w:type="dxa" w:w="5413"/>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Line Clearance Check Item</w:t>
            </w:r>
          </w:p>
        </w:tc>
        <w:tc>
          <w:tcPr>
            <w:tcW w:type="dxa" w:w="3213"/>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Verification Method</w:t>
            </w:r>
          </w:p>
        </w:tc>
      </w:tr>
      <w:tr>
        <w:tc>
          <w:tcPr>
            <w:tcW w:type="dxa" w:w="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1</w:t>
            </w:r>
          </w:p>
        </w:tc>
        <w:tc>
          <w:tcPr>
            <w:tcW w:type="dxa" w:w="54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CLEAN status label is present on equipment and CHT has not expired</w:t>
            </w:r>
          </w:p>
        </w:tc>
        <w:tc>
          <w:tcPr>
            <w:tcW w:type="dxa" w:w="3213"/>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Visual check; compare label date to current date/time</w:t>
            </w:r>
          </w:p>
        </w:tc>
      </w:tr>
      <w:tr>
        <w:tc>
          <w:tcPr>
            <w:tcW w:type="dxa" w:w="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2</w:t>
            </w:r>
          </w:p>
        </w:tc>
        <w:tc>
          <w:tcPr>
            <w:tcW w:type="dxa" w:w="54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No materials, labels, or documents from previous batch are present on or around the equipment</w:t>
            </w:r>
          </w:p>
        </w:tc>
        <w:tc>
          <w:tcPr>
            <w:tcW w:type="dxa" w:w="3213"/>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Physical inspection of equipment and surrounding area</w:t>
            </w:r>
          </w:p>
        </w:tc>
      </w:tr>
      <w:tr>
        <w:tc>
          <w:tcPr>
            <w:tcW w:type="dxa" w:w="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3</w:t>
            </w:r>
          </w:p>
        </w:tc>
        <w:tc>
          <w:tcPr>
            <w:tcW w:type="dxa" w:w="54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Rinse water test results are available and meet acceptance criteria; signed by QC</w:t>
            </w:r>
          </w:p>
        </w:tc>
        <w:tc>
          <w:tcPr>
            <w:tcW w:type="dxa" w:w="3213"/>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Review QC release certificate / LIMS printout</w:t>
            </w:r>
          </w:p>
        </w:tc>
      </w:tr>
      <w:tr>
        <w:tc>
          <w:tcPr>
            <w:tcW w:type="dxa" w:w="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4</w:t>
            </w:r>
          </w:p>
        </w:tc>
        <w:tc>
          <w:tcPr>
            <w:tcW w:type="dxa" w:w="54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Equipment logbook is up to date and cleaning records are complete</w:t>
            </w:r>
          </w:p>
        </w:tc>
        <w:tc>
          <w:tcPr>
            <w:tcW w:type="dxa" w:w="3213"/>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Review logbook entries for this equipment ID</w:t>
            </w:r>
          </w:p>
        </w:tc>
      </w:tr>
      <w:tr>
        <w:tc>
          <w:tcPr>
            <w:tcW w:type="dxa" w:w="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5</w:t>
            </w:r>
          </w:p>
        </w:tc>
        <w:tc>
          <w:tcPr>
            <w:tcW w:type="dxa" w:w="54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Correct product-contact parts are installed and verified (especially gaskets, seals, screens, filters)</w:t>
            </w:r>
          </w:p>
        </w:tc>
        <w:tc>
          <w:tcPr>
            <w:tcW w:type="dxa" w:w="3213"/>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Check against ESCI component list; physically verify</w:t>
            </w:r>
          </w:p>
        </w:tc>
      </w:tr>
      <w:tr>
        <w:tc>
          <w:tcPr>
            <w:tcW w:type="dxa" w:w="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6</w:t>
            </w:r>
          </w:p>
        </w:tc>
        <w:tc>
          <w:tcPr>
            <w:tcW w:type="dxa" w:w="54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Cleaning equipment (brushes, tools) have been removed from the area and returned to designated storage</w:t>
            </w:r>
          </w:p>
        </w:tc>
        <w:tc>
          <w:tcPr>
            <w:tcW w:type="dxa" w:w="3213"/>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Visual inspection of area</w:t>
            </w:r>
          </w:p>
        </w:tc>
      </w:tr>
      <w:tr>
        <w:tc>
          <w:tcPr>
            <w:tcW w:type="dxa" w:w="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7</w:t>
            </w:r>
          </w:p>
        </w:tc>
        <w:tc>
          <w:tcPr>
            <w:tcW w:type="dxa" w:w="54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All weighing scales in the area are within calibration validity period and have been checked with reference weights today</w:t>
            </w:r>
          </w:p>
        </w:tc>
        <w:tc>
          <w:tcPr>
            <w:tcW w:type="dxa" w:w="3213"/>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Calibration label; daily check log</w:t>
            </w:r>
          </w:p>
        </w:tc>
      </w:tr>
      <w:tr>
        <w:tc>
          <w:tcPr>
            <w:tcW w:type="dxa" w:w="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8</w:t>
            </w:r>
          </w:p>
        </w:tc>
        <w:tc>
          <w:tcPr>
            <w:tcW w:type="dxa" w:w="54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Area is free of extraneous items (tools, personal items, previous-batch packaging)</w:t>
            </w:r>
          </w:p>
        </w:tc>
        <w:tc>
          <w:tcPr>
            <w:tcW w:type="dxa" w:w="3213"/>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Visual inspection</w:t>
            </w:r>
          </w:p>
        </w:tc>
      </w:tr>
      <w:tr>
        <w:tc>
          <w:tcPr>
            <w:tcW w:type="dxa" w:w="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9</w:t>
            </w:r>
          </w:p>
        </w:tc>
        <w:tc>
          <w:tcPr>
            <w:tcW w:type="dxa" w:w="54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Production Supervisor signs line clearance record; QA countersigns</w:t>
            </w:r>
          </w:p>
        </w:tc>
        <w:tc>
          <w:tcPr>
            <w:tcW w:type="dxa" w:w="3213"/>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Signature in Line Clearance Form [FORM-CLN-LC-001]</w:t>
            </w:r>
          </w:p>
        </w:tc>
      </w:tr>
    </w:tbl>
    <w:p>
      <w:pPr>
        <w:spacing w:before="0" w:after="0"/>
      </w:pPr>
      <w:r>
        <w:rPr>
          <w:sz w:val="18"/>
          <w:szCs w:val="18"/>
        </w:rPr>
        <w:t xml:space="preserve"/>
      </w:r>
    </w:p>
    <w:p>
      <w:pPr>
        <w:pStyle w:val="Heading1"/>
        <w:pBdr>
          <w:bottom w:val="single" w:color="3A72C9" w:sz="6" w:space="4"/>
        </w:pBdr>
        <w:spacing w:before="280" w:after="120"/>
      </w:pPr>
      <w:r>
        <w:rPr>
          <w:rFonts w:ascii="Arial" w:cs="Arial" w:eastAsia="Arial" w:hAnsi="Arial"/>
          <w:b/>
          <w:bCs/>
          <w:color w:val="1B2A4A"/>
          <w:sz w:val="28"/>
          <w:szCs w:val="28"/>
        </w:rPr>
        <w:t xml:space="preserve">11. DIRTY HOLD TIME &amp; CLEAN HOLD TIME MANAGEMENT</w:t>
      </w:r>
    </w:p>
    <w:p>
      <w:pPr>
        <w:pStyle w:val="Heading2"/>
        <w:spacing w:before="200" w:after="80"/>
      </w:pPr>
      <w:r>
        <w:rPr>
          <w:rFonts w:ascii="Arial" w:cs="Arial" w:eastAsia="Arial" w:hAnsi="Arial"/>
          <w:b/>
          <w:bCs/>
          <w:color w:val="2E4D8A"/>
          <w:sz w:val="22"/>
          <w:szCs w:val="22"/>
        </w:rPr>
        <w:t xml:space="preserve">11.1 Dirty Hold Time (DHT)</w:t>
      </w:r>
    </w:p>
    <w:p>
      <w:pPr>
        <w:pStyle w:val="ListParagraph"/>
        <w:numPr>
          <w:ilvl w:val="0"/>
          <w:numId w:val="2"/>
        </w:numPr>
        <w:spacing w:before="40" w:after="40"/>
      </w:pPr>
      <w:r>
        <w:rPr>
          <w:rFonts w:ascii="Arial" w:cs="Arial" w:eastAsia="Arial" w:hAnsi="Arial"/>
          <w:sz w:val="18"/>
          <w:szCs w:val="18"/>
        </w:rPr>
        <w:t xml:space="preserve">DHT is the maximum validated time between the end of production and the start of equipment cleaning.</w:t>
      </w:r>
    </w:p>
    <w:p>
      <w:pPr>
        <w:pStyle w:val="ListParagraph"/>
        <w:numPr>
          <w:ilvl w:val="0"/>
          <w:numId w:val="2"/>
        </w:numPr>
        <w:spacing w:before="40" w:after="40"/>
      </w:pPr>
      <w:r>
        <w:rPr>
          <w:rFonts w:ascii="Arial" w:cs="Arial" w:eastAsia="Arial" w:hAnsi="Arial"/>
          <w:sz w:val="18"/>
          <w:szCs w:val="18"/>
        </w:rPr>
        <w:t xml:space="preserve">DHT shall be determined during cleaning validation studies by demonstrating that cleaning efficacy is not compromised after the maximum hold time at defined storage conditions.</w:t>
      </w:r>
    </w:p>
    <w:p>
      <w:pPr>
        <w:pStyle w:val="ListParagraph"/>
        <w:numPr>
          <w:ilvl w:val="0"/>
          <w:numId w:val="2"/>
        </w:numPr>
        <w:spacing w:before="40" w:after="40"/>
      </w:pPr>
      <w:r>
        <w:rPr>
          <w:rFonts w:ascii="Arial" w:cs="Arial" w:eastAsia="Arial" w:hAnsi="Arial"/>
          <w:sz w:val="18"/>
          <w:szCs w:val="18"/>
        </w:rPr>
        <w:t xml:space="preserve">DHT limits are recorded in the Cleaning Validation Summary [VAL-CVS-XXX] and the Equipment-Specific Cleaning Instruction (ESCI).</w:t>
      </w:r>
    </w:p>
    <w:p>
      <w:pPr>
        <w:pStyle w:val="ListParagraph"/>
        <w:numPr>
          <w:ilvl w:val="0"/>
          <w:numId w:val="2"/>
        </w:numPr>
        <w:spacing w:before="40" w:after="40"/>
      </w:pPr>
      <w:r>
        <w:rPr>
          <w:rFonts w:ascii="Arial" w:cs="Arial" w:eastAsia="Arial" w:hAnsi="Arial"/>
          <w:sz w:val="18"/>
          <w:szCs w:val="18"/>
        </w:rPr>
        <w:t xml:space="preserve">If DHT is exceeded: equipment must NOT be cleaned without QA notification; a deviation shall be raised; QA will assess whether additional cleaning runs or revalidation are required.</w:t>
      </w:r>
    </w:p>
    <w:p>
      <w:pPr>
        <w:spacing w:before="0" w:after="0"/>
      </w:pPr>
      <w:r>
        <w:rPr>
          <w:sz w:val="18"/>
          <w:szCs w:val="18"/>
        </w:rPr>
        <w:t xml:space="preserve"/>
      </w:r>
    </w:p>
    <w:p>
      <w:pPr>
        <w:pStyle w:val="Heading2"/>
        <w:spacing w:before="200" w:after="80"/>
      </w:pPr>
      <w:r>
        <w:rPr>
          <w:rFonts w:ascii="Arial" w:cs="Arial" w:eastAsia="Arial" w:hAnsi="Arial"/>
          <w:b/>
          <w:bCs/>
          <w:color w:val="2E4D8A"/>
          <w:sz w:val="22"/>
          <w:szCs w:val="22"/>
        </w:rPr>
        <w:t xml:space="preserve">11.2 Clean Hold Time (CHT)</w:t>
      </w:r>
    </w:p>
    <w:p>
      <w:pPr>
        <w:pStyle w:val="ListParagraph"/>
        <w:numPr>
          <w:ilvl w:val="0"/>
          <w:numId w:val="2"/>
        </w:numPr>
        <w:spacing w:before="40" w:after="40"/>
      </w:pPr>
      <w:r>
        <w:rPr>
          <w:rFonts w:ascii="Arial" w:cs="Arial" w:eastAsia="Arial" w:hAnsi="Arial"/>
          <w:sz w:val="18"/>
          <w:szCs w:val="18"/>
        </w:rPr>
        <w:t xml:space="preserve">CHT is the maximum validated time a cleaned and dried equipment may be stored before it must be re-cleaned prior to use.</w:t>
      </w:r>
    </w:p>
    <w:p>
      <w:pPr>
        <w:pStyle w:val="ListParagraph"/>
        <w:numPr>
          <w:ilvl w:val="0"/>
          <w:numId w:val="2"/>
        </w:numPr>
        <w:spacing w:before="40" w:after="40"/>
      </w:pPr>
      <w:r>
        <w:rPr>
          <w:rFonts w:ascii="Arial" w:cs="Arial" w:eastAsia="Arial" w:hAnsi="Arial"/>
          <w:sz w:val="18"/>
          <w:szCs w:val="18"/>
        </w:rPr>
        <w:t xml:space="preserve">CHT is determined by demonstrating that microbial levels and contamination on cleaned equipment surfaces do not exceed acceptance limits over the maximum storage period.</w:t>
      </w:r>
    </w:p>
    <w:p>
      <w:pPr>
        <w:pStyle w:val="ListParagraph"/>
        <w:numPr>
          <w:ilvl w:val="0"/>
          <w:numId w:val="2"/>
        </w:numPr>
        <w:spacing w:before="40" w:after="40"/>
      </w:pPr>
      <w:r>
        <w:rPr>
          <w:rFonts w:ascii="Arial" w:cs="Arial" w:eastAsia="Arial" w:hAnsi="Arial"/>
          <w:sz w:val="18"/>
          <w:szCs w:val="18"/>
        </w:rPr>
        <w:t xml:space="preserve">CHT shall be documented in the ESCI and on the CLEAN status label applied to the equipment.</w:t>
      </w:r>
    </w:p>
    <w:p>
      <w:pPr>
        <w:pStyle w:val="ListParagraph"/>
        <w:numPr>
          <w:ilvl w:val="0"/>
          <w:numId w:val="2"/>
        </w:numPr>
        <w:spacing w:before="40" w:after="40"/>
      </w:pPr>
      <w:r>
        <w:rPr>
          <w:rFonts w:ascii="Arial" w:cs="Arial" w:eastAsia="Arial" w:hAnsi="Arial"/>
          <w:sz w:val="18"/>
          <w:szCs w:val="18"/>
        </w:rPr>
        <w:t xml:space="preserve">If CHT is exceeded: the equipment must be re-cleaned and re-tested per this SOP before use; the re-cleaning must be documented as a new cleaning record.</w:t>
      </w:r>
    </w:p>
    <w:p>
      <w:pPr>
        <w:spacing w:before="0" w:after="0"/>
      </w:pPr>
      <w:r>
        <w:rPr>
          <w:sz w:val="18"/>
          <w:szCs w:val="18"/>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800"/>
        <w:gridCol w:w="3113"/>
        <w:gridCol w:w="3113"/>
      </w:tblGrid>
      <w:tr>
        <w:trPr>
          <w:tblHeader/>
        </w:trPr>
        <w:tc>
          <w:tcPr>
            <w:tcW w:type="dxa" w:w="28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Equipment / Equipment Category</w:t>
            </w:r>
          </w:p>
        </w:tc>
        <w:tc>
          <w:tcPr>
            <w:tcW w:type="dxa" w:w="3113"/>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Validated Dirty Hold Time</w:t>
            </w:r>
          </w:p>
        </w:tc>
        <w:tc>
          <w:tcPr>
            <w:tcW w:type="dxa" w:w="3113"/>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Validated Clean Hold Time</w:t>
            </w:r>
          </w:p>
        </w:tc>
      </w:tr>
      <w:tr>
        <w:tc>
          <w:tcPr>
            <w:tcW w:type="dxa" w:w="28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[Equipment Name / ID]</w:t>
            </w:r>
          </w:p>
        </w:tc>
        <w:tc>
          <w:tcPr>
            <w:tcW w:type="dxa" w:w="31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[X hours] at [ambient / temperature-controlled]</w:t>
            </w:r>
          </w:p>
        </w:tc>
        <w:tc>
          <w:tcPr>
            <w:tcW w:type="dxa" w:w="31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[X days/hours] at [ambient / covered]</w:t>
            </w:r>
          </w:p>
        </w:tc>
      </w:tr>
      <w:tr>
        <w:tc>
          <w:tcPr>
            <w:tcW w:type="dxa" w:w="28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[Equipment Name / ID]</w:t>
            </w:r>
          </w:p>
        </w:tc>
        <w:tc>
          <w:tcPr>
            <w:tcW w:type="dxa" w:w="31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[X hours]</w:t>
            </w:r>
          </w:p>
        </w:tc>
        <w:tc>
          <w:tcPr>
            <w:tcW w:type="dxa" w:w="31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[X days/hours]</w:t>
            </w:r>
          </w:p>
        </w:tc>
      </w:tr>
      <w:tr>
        <w:tc>
          <w:tcPr>
            <w:tcW w:type="dxa" w:w="28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[Add rows as needed]</w:t>
            </w:r>
          </w:p>
        </w:tc>
        <w:tc>
          <w:tcPr>
            <w:tcW w:type="dxa" w:w="31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31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r>
    </w:tbl>
    <w:p>
      <w:pPr>
        <w:spacing w:before="0" w:after="0"/>
      </w:pPr>
      <w:r>
        <w:rPr>
          <w:sz w:val="18"/>
          <w:szCs w:val="18"/>
        </w:rPr>
        <w:t xml:space="preserve"/>
      </w:r>
    </w:p>
    <w:p>
      <w:pPr>
        <w:pStyle w:val="Heading1"/>
        <w:pBdr>
          <w:bottom w:val="single" w:color="3A72C9" w:sz="6" w:space="4"/>
        </w:pBdr>
        <w:spacing w:before="280" w:after="120"/>
      </w:pPr>
      <w:r>
        <w:rPr>
          <w:rFonts w:ascii="Arial" w:cs="Arial" w:eastAsia="Arial" w:hAnsi="Arial"/>
          <w:b/>
          <w:bCs/>
          <w:color w:val="1B2A4A"/>
          <w:sz w:val="28"/>
          <w:szCs w:val="28"/>
        </w:rPr>
        <w:t xml:space="preserve">12. DOCUMENTATION &amp; DATA INTEGRITY (ALCOA+)</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0"/>
        <w:gridCol w:w="8126"/>
      </w:tblGrid>
      <w:tr>
        <w:tc>
          <w:tcPr>
            <w:tcW w:type="dxa" w:w="900"/>
            <w:tcBorders>
              <w:top w:val="single" w:color="1B2A4A" w:sz="4"/>
              <w:left w:val="single" w:color="1B2A4A" w:sz="4"/>
              <w:bottom w:val="single" w:color="1B2A4A" w:sz="4"/>
              <w:right w:val="single" w:color="1B2A4A" w:sz="4"/>
            </w:tcBorders>
            <w:shd w:fill="F8D7DA" w:val="clear"/>
            <w:tcMar>
              <w:top w:type="dxa" w:w="80"/>
              <w:left w:type="dxa" w:w="120"/>
              <w:bottom w:type="dxa" w:w="80"/>
              <w:right w:type="dxa" w:w="120"/>
            </w:tcMar>
            <w:vAlign w:val="center"/>
          </w:tcPr>
          <w:p>
            <w:pPr>
              <w:jc w:val="center"/>
            </w:pPr>
            <w:r>
              <w:rPr>
                <w:rFonts w:ascii="Arial" w:cs="Arial" w:eastAsia="Arial" w:hAnsi="Arial"/>
                <w:b/>
                <w:bCs/>
                <w:color w:val="1B2A4A"/>
                <w:sz w:val="18"/>
                <w:szCs w:val="18"/>
              </w:rPr>
              <w:t xml:space="preserve">DATA INTEGRITY</w:t>
            </w:r>
          </w:p>
        </w:tc>
        <w:tc>
          <w:tcPr>
            <w:tcW w:type="dxa" w:w="8126"/>
            <w:tcBorders>
              <w:top w:val="single" w:color="1B2A4A" w:sz="4"/>
              <w:left w:val="single" w:color="1B2A4A" w:sz="4"/>
              <w:bottom w:val="single" w:color="1B2A4A" w:sz="4"/>
              <w:right w:val="single" w:color="1B2A4A" w:sz="4"/>
            </w:tcBorders>
            <w:shd w:fill="F8D7DA" w:val="clear"/>
            <w:tcMar>
              <w:top w:type="dxa" w:w="80"/>
              <w:left w:type="dxa" w:w="140"/>
              <w:bottom w:type="dxa" w:w="80"/>
              <w:right w:type="dxa" w:w="140"/>
            </w:tcMar>
          </w:tcPr>
          <w:p>
            <w:r>
              <w:rPr>
                <w:rFonts w:ascii="Arial" w:cs="Arial" w:eastAsia="Arial" w:hAnsi="Arial"/>
                <w:i/>
                <w:iCs/>
                <w:sz w:val="18"/>
                <w:szCs w:val="18"/>
              </w:rPr>
              <w:t xml:space="preserve">All cleaning records must comply with ALCOA+ principles (Attributable, Legible, Contemporaneous, Original, Accurate, Complete, Consistent, Enduring, Available). No back-dating, pre-signing, or correction without single strike-through, initials, date, and reason.</w:t>
            </w:r>
          </w:p>
        </w:tc>
      </w:tr>
    </w:tbl>
    <w:p>
      <w:pPr>
        <w:spacing w:before="0" w:after="0"/>
      </w:pPr>
      <w:r>
        <w:rPr>
          <w:sz w:val="18"/>
          <w:szCs w:val="18"/>
        </w:rPr>
        <w:t xml:space="preserve"/>
      </w:r>
    </w:p>
    <w:p>
      <w:pPr>
        <w:spacing w:before="60" w:after="60"/>
      </w:pPr>
      <w:r>
        <w:rPr>
          <w:rFonts w:ascii="Arial" w:cs="Arial" w:eastAsia="Arial" w:hAnsi="Arial"/>
          <w:sz w:val="18"/>
          <w:szCs w:val="18"/>
        </w:rPr>
        <w:t xml:space="preserve">The following documents must be completed for every cleaning event:</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026"/>
        <w:gridCol w:w="3000"/>
        <w:gridCol w:w="3000"/>
      </w:tblGrid>
      <w:tr>
        <w:trPr>
          <w:tblHeader/>
        </w:trPr>
        <w:tc>
          <w:tcPr>
            <w:tcW w:type="dxa" w:w="3026"/>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Document</w:t>
            </w:r>
          </w:p>
        </w:tc>
        <w:tc>
          <w:tcPr>
            <w:tcW w:type="dxa" w:w="30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Completed By</w:t>
            </w:r>
          </w:p>
        </w:tc>
        <w:tc>
          <w:tcPr>
            <w:tcW w:type="dxa" w:w="30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Reviewed / Approved By</w:t>
            </w:r>
          </w:p>
        </w:tc>
      </w:tr>
      <w:tr>
        <w:tc>
          <w:tcPr>
            <w:tcW w:type="dxa" w:w="3026"/>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Equipment Cleaning Logbook [FORM-CLN-LOG-001]</w:t>
            </w:r>
          </w:p>
        </w:tc>
        <w:tc>
          <w:tcPr>
            <w:tcW w:type="dxa" w:w="3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Production Operator (contemporaneously)</w:t>
            </w:r>
          </w:p>
        </w:tc>
        <w:tc>
          <w:tcPr>
            <w:tcW w:type="dxa" w:w="3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Production Supervisor</w:t>
            </w:r>
          </w:p>
        </w:tc>
      </w:tr>
      <w:tr>
        <w:tc>
          <w:tcPr>
            <w:tcW w:type="dxa" w:w="3026"/>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Rinse Water Sample Label + Chain of Custody</w:t>
            </w:r>
          </w:p>
        </w:tc>
        <w:tc>
          <w:tcPr>
            <w:tcW w:type="dxa" w:w="3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Operator collecting sample</w:t>
            </w:r>
          </w:p>
        </w:tc>
        <w:tc>
          <w:tcPr>
            <w:tcW w:type="dxa" w:w="3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QC Analyst receiving sample</w:t>
            </w:r>
          </w:p>
        </w:tc>
      </w:tr>
      <w:tr>
        <w:tc>
          <w:tcPr>
            <w:tcW w:type="dxa" w:w="3026"/>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QC Rinse Water / Swab Test Worksheet</w:t>
            </w:r>
          </w:p>
        </w:tc>
        <w:tc>
          <w:tcPr>
            <w:tcW w:type="dxa" w:w="3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QC Analyst</w:t>
            </w:r>
          </w:p>
        </w:tc>
        <w:tc>
          <w:tcPr>
            <w:tcW w:type="dxa" w:w="3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Head QC / Senior Analyst</w:t>
            </w:r>
          </w:p>
        </w:tc>
      </w:tr>
      <w:tr>
        <w:tc>
          <w:tcPr>
            <w:tcW w:type="dxa" w:w="3026"/>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Line Clearance Form [FORM-CLN-LC-001]</w:t>
            </w:r>
          </w:p>
        </w:tc>
        <w:tc>
          <w:tcPr>
            <w:tcW w:type="dxa" w:w="3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Production Supervisor</w:t>
            </w:r>
          </w:p>
        </w:tc>
        <w:tc>
          <w:tcPr>
            <w:tcW w:type="dxa" w:w="3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QA (countersignature)</w:t>
            </w:r>
          </w:p>
        </w:tc>
      </w:tr>
      <w:tr>
        <w:tc>
          <w:tcPr>
            <w:tcW w:type="dxa" w:w="3026"/>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Equipment Logbook / Use Log [FORM-ENG-LOG-XXX]</w:t>
            </w:r>
          </w:p>
        </w:tc>
        <w:tc>
          <w:tcPr>
            <w:tcW w:type="dxa" w:w="3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Production Operator / Supervisor</w:t>
            </w:r>
          </w:p>
        </w:tc>
        <w:tc>
          <w:tcPr>
            <w:tcW w:type="dxa" w:w="3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Production Supervisor</w:t>
            </w:r>
          </w:p>
        </w:tc>
      </w:tr>
      <w:tr>
        <w:tc>
          <w:tcPr>
            <w:tcW w:type="dxa" w:w="3026"/>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Deviation Report (if applicable) [DEV-FORM-001]</w:t>
            </w:r>
          </w:p>
        </w:tc>
        <w:tc>
          <w:tcPr>
            <w:tcW w:type="dxa" w:w="3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Person discovering deviation</w:t>
            </w:r>
          </w:p>
        </w:tc>
        <w:tc>
          <w:tcPr>
            <w:tcW w:type="dxa" w:w="3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Head QA</w:t>
            </w:r>
          </w:p>
        </w:tc>
      </w:tr>
      <w:tr>
        <w:tc>
          <w:tcPr>
            <w:tcW w:type="dxa" w:w="3026"/>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Cleaning Batch Record (CBR) [FORM-CLN-CBR-XXX]</w:t>
            </w:r>
          </w:p>
        </w:tc>
        <w:tc>
          <w:tcPr>
            <w:tcW w:type="dxa" w:w="3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Production Operator + Supervisor</w:t>
            </w:r>
          </w:p>
        </w:tc>
        <w:tc>
          <w:tcPr>
            <w:tcW w:type="dxa" w:w="3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QA before next batch start</w:t>
            </w:r>
          </w:p>
        </w:tc>
      </w:tr>
    </w:tbl>
    <w:p>
      <w:pPr>
        <w:spacing w:before="0" w:after="0"/>
      </w:pPr>
      <w:r>
        <w:rPr>
          <w:sz w:val="18"/>
          <w:szCs w:val="18"/>
        </w:rPr>
        <w:t xml:space="preserve"/>
      </w:r>
    </w:p>
    <w:p>
      <w:pPr>
        <w:pStyle w:val="Heading1"/>
        <w:pBdr>
          <w:bottom w:val="single" w:color="3A72C9" w:sz="6" w:space="4"/>
        </w:pBdr>
        <w:spacing w:before="280" w:after="120"/>
      </w:pPr>
      <w:r>
        <w:rPr>
          <w:rFonts w:ascii="Arial" w:cs="Arial" w:eastAsia="Arial" w:hAnsi="Arial"/>
          <w:b/>
          <w:bCs/>
          <w:color w:val="1B2A4A"/>
          <w:sz w:val="28"/>
          <w:szCs w:val="28"/>
        </w:rPr>
        <w:t xml:space="preserve">13. DEVIATIONS &amp; OOS CLEANING RESULTS</w:t>
      </w:r>
    </w:p>
    <w:p>
      <w:pPr>
        <w:pStyle w:val="Heading2"/>
        <w:spacing w:before="200" w:after="80"/>
      </w:pPr>
      <w:r>
        <w:rPr>
          <w:rFonts w:ascii="Arial" w:cs="Arial" w:eastAsia="Arial" w:hAnsi="Arial"/>
          <w:b/>
          <w:bCs/>
          <w:color w:val="2E4D8A"/>
          <w:sz w:val="22"/>
          <w:szCs w:val="22"/>
        </w:rPr>
        <w:t xml:space="preserve">13.1 Deviation Triggers</w:t>
      </w:r>
    </w:p>
    <w:p>
      <w:pPr>
        <w:spacing w:before="60" w:after="60"/>
      </w:pPr>
      <w:r>
        <w:rPr>
          <w:rFonts w:ascii="Arial" w:cs="Arial" w:eastAsia="Arial" w:hAnsi="Arial"/>
          <w:sz w:val="18"/>
          <w:szCs w:val="18"/>
        </w:rPr>
        <w:t xml:space="preserve">The following events require immediate deviation reporting per SOP [SOP-QA-DEV-XXX]:</w:t>
      </w:r>
    </w:p>
    <w:p>
      <w:pPr>
        <w:pStyle w:val="ListParagraph"/>
        <w:numPr>
          <w:ilvl w:val="0"/>
          <w:numId w:val="2"/>
        </w:numPr>
        <w:spacing w:before="40" w:after="40"/>
      </w:pPr>
      <w:r>
        <w:rPr>
          <w:rFonts w:ascii="Arial" w:cs="Arial" w:eastAsia="Arial" w:hAnsi="Arial"/>
          <w:sz w:val="18"/>
          <w:szCs w:val="18"/>
        </w:rPr>
        <w:t xml:space="preserve">Any rinse water or swab test result that fails an acceptance criterion</w:t>
      </w:r>
    </w:p>
    <w:p>
      <w:pPr>
        <w:pStyle w:val="ListParagraph"/>
        <w:numPr>
          <w:ilvl w:val="0"/>
          <w:numId w:val="2"/>
        </w:numPr>
        <w:spacing w:before="40" w:after="40"/>
      </w:pPr>
      <w:r>
        <w:rPr>
          <w:rFonts w:ascii="Arial" w:cs="Arial" w:eastAsia="Arial" w:hAnsi="Arial"/>
          <w:sz w:val="18"/>
          <w:szCs w:val="18"/>
        </w:rPr>
        <w:t xml:space="preserve">Dirty Hold Time or Clean Hold Time exceeded</w:t>
      </w:r>
    </w:p>
    <w:p>
      <w:pPr>
        <w:pStyle w:val="ListParagraph"/>
        <w:numPr>
          <w:ilvl w:val="0"/>
          <w:numId w:val="2"/>
        </w:numPr>
        <w:spacing w:before="40" w:after="40"/>
      </w:pPr>
      <w:r>
        <w:rPr>
          <w:rFonts w:ascii="Arial" w:cs="Arial" w:eastAsia="Arial" w:hAnsi="Arial"/>
          <w:sz w:val="18"/>
          <w:szCs w:val="18"/>
        </w:rPr>
        <w:t xml:space="preserve">Cleaning agent used at incorrect concentration, temperature, or contact time</w:t>
      </w:r>
    </w:p>
    <w:p>
      <w:pPr>
        <w:pStyle w:val="ListParagraph"/>
        <w:numPr>
          <w:ilvl w:val="0"/>
          <w:numId w:val="2"/>
        </w:numPr>
        <w:spacing w:before="40" w:after="40"/>
      </w:pPr>
      <w:r>
        <w:rPr>
          <w:rFonts w:ascii="Arial" w:cs="Arial" w:eastAsia="Arial" w:hAnsi="Arial"/>
          <w:sz w:val="18"/>
          <w:szCs w:val="18"/>
        </w:rPr>
        <w:t xml:space="preserve">Wrong cleaning procedure used for the product transition</w:t>
      </w:r>
    </w:p>
    <w:p>
      <w:pPr>
        <w:pStyle w:val="ListParagraph"/>
        <w:numPr>
          <w:ilvl w:val="0"/>
          <w:numId w:val="2"/>
        </w:numPr>
        <w:spacing w:before="40" w:after="40"/>
      </w:pPr>
      <w:r>
        <w:rPr>
          <w:rFonts w:ascii="Arial" w:cs="Arial" w:eastAsia="Arial" w:hAnsi="Arial"/>
          <w:sz w:val="18"/>
          <w:szCs w:val="18"/>
        </w:rPr>
        <w:t xml:space="preserve">CIP cycle parameter out of validated range (cycle abort or parameter deviation)</w:t>
      </w:r>
    </w:p>
    <w:p>
      <w:pPr>
        <w:pStyle w:val="ListParagraph"/>
        <w:numPr>
          <w:ilvl w:val="0"/>
          <w:numId w:val="2"/>
        </w:numPr>
        <w:spacing w:before="40" w:after="40"/>
      </w:pPr>
      <w:r>
        <w:rPr>
          <w:rFonts w:ascii="Arial" w:cs="Arial" w:eastAsia="Arial" w:hAnsi="Arial"/>
          <w:sz w:val="18"/>
          <w:szCs w:val="18"/>
        </w:rPr>
        <w:t xml:space="preserve">Physical damage to equipment discovered during cleaning (pitting, scratches, gasket failure)</w:t>
      </w:r>
    </w:p>
    <w:p>
      <w:pPr>
        <w:pStyle w:val="ListParagraph"/>
        <w:numPr>
          <w:ilvl w:val="0"/>
          <w:numId w:val="2"/>
        </w:numPr>
        <w:spacing w:before="40" w:after="40"/>
      </w:pPr>
      <w:r>
        <w:rPr>
          <w:rFonts w:ascii="Arial" w:cs="Arial" w:eastAsia="Arial" w:hAnsi="Arial"/>
          <w:sz w:val="18"/>
          <w:szCs w:val="18"/>
        </w:rPr>
        <w:t xml:space="preserve">Any visual residue observed during inspection after cleaning completion</w:t>
      </w:r>
    </w:p>
    <w:p>
      <w:pPr>
        <w:pStyle w:val="ListParagraph"/>
        <w:numPr>
          <w:ilvl w:val="0"/>
          <w:numId w:val="2"/>
        </w:numPr>
        <w:spacing w:before="40" w:after="40"/>
      </w:pPr>
      <w:r>
        <w:rPr>
          <w:rFonts w:ascii="Arial" w:cs="Arial" w:eastAsia="Arial" w:hAnsi="Arial"/>
          <w:sz w:val="18"/>
          <w:szCs w:val="18"/>
        </w:rPr>
        <w:t xml:space="preserve">Missing or incomplete cleaning records at time of line clearance</w:t>
      </w:r>
    </w:p>
    <w:p>
      <w:pPr>
        <w:spacing w:before="0" w:after="0"/>
      </w:pPr>
      <w:r>
        <w:rPr>
          <w:sz w:val="18"/>
          <w:szCs w:val="18"/>
        </w:rPr>
        <w:t xml:space="preserve"/>
      </w:r>
    </w:p>
    <w:p>
      <w:pPr>
        <w:pStyle w:val="Heading2"/>
        <w:spacing w:before="200" w:after="80"/>
      </w:pPr>
      <w:r>
        <w:rPr>
          <w:rFonts w:ascii="Arial" w:cs="Arial" w:eastAsia="Arial" w:hAnsi="Arial"/>
          <w:b/>
          <w:bCs/>
          <w:color w:val="2E4D8A"/>
          <w:sz w:val="22"/>
          <w:szCs w:val="22"/>
        </w:rPr>
        <w:t xml:space="preserve">13.2 OOS Cleaning Investigation Steps</w:t>
      </w:r>
    </w:p>
    <w:p>
      <w:pPr>
        <w:pStyle w:val="ListParagraph"/>
        <w:numPr>
          <w:ilvl w:val="0"/>
          <w:numId w:val="3"/>
        </w:numPr>
        <w:spacing w:before="60" w:after="60"/>
      </w:pPr>
      <w:r>
        <w:rPr>
          <w:rFonts w:ascii="Arial" w:cs="Arial" w:eastAsia="Arial" w:hAnsi="Arial"/>
          <w:sz w:val="18"/>
          <w:szCs w:val="18"/>
        </w:rPr>
        <w:t xml:space="preserve">Stop — do not release equipment or proceed with next batch. Quarantine the equipment by applying an 'UNDER INVESTIGATION' label.</w:t>
      </w:r>
    </w:p>
    <w:p>
      <w:pPr>
        <w:pStyle w:val="ListParagraph"/>
        <w:numPr>
          <w:ilvl w:val="0"/>
          <w:numId w:val="3"/>
        </w:numPr>
        <w:spacing w:before="60" w:after="60"/>
      </w:pPr>
      <w:r>
        <w:rPr>
          <w:rFonts w:ascii="Arial" w:cs="Arial" w:eastAsia="Arial" w:hAnsi="Arial"/>
          <w:sz w:val="18"/>
          <w:szCs w:val="18"/>
        </w:rPr>
        <w:t xml:space="preserve">Notify Head QC and Head QA within 1 hour of OOS result. Preserve all samples (retain the rinse water sample and any residual swabs).</w:t>
      </w:r>
    </w:p>
    <w:p>
      <w:pPr>
        <w:pStyle w:val="ListParagraph"/>
        <w:numPr>
          <w:ilvl w:val="0"/>
          <w:numId w:val="3"/>
        </w:numPr>
        <w:spacing w:before="60" w:after="60"/>
      </w:pPr>
      <w:r>
        <w:rPr>
          <w:rFonts w:ascii="Arial" w:cs="Arial" w:eastAsia="Arial" w:hAnsi="Arial"/>
          <w:sz w:val="18"/>
          <w:szCs w:val="18"/>
        </w:rPr>
        <w:t xml:space="preserve">Phase I — Analytical Investigation: QC analyst reviews raw data, calculation, instrument calibration, standard suitability, sample chain of custody, and analytical method for any laboratory error.</w:t>
      </w:r>
    </w:p>
    <w:p>
      <w:pPr>
        <w:pStyle w:val="ListParagraph"/>
        <w:numPr>
          <w:ilvl w:val="0"/>
          <w:numId w:val="3"/>
        </w:numPr>
        <w:spacing w:before="60" w:after="60"/>
      </w:pPr>
      <w:r>
        <w:rPr>
          <w:rFonts w:ascii="Arial" w:cs="Arial" w:eastAsia="Arial" w:hAnsi="Arial"/>
          <w:sz w:val="18"/>
          <w:szCs w:val="18"/>
        </w:rPr>
        <w:t xml:space="preserve">If Phase I identifies a confirmed laboratory error: document the root cause, correct the error, re-test the retained sample. If result passes, close with laboratory investigation report approved by Head QC.</w:t>
      </w:r>
    </w:p>
    <w:p>
      <w:pPr>
        <w:pStyle w:val="ListParagraph"/>
        <w:numPr>
          <w:ilvl w:val="0"/>
          <w:numId w:val="3"/>
        </w:numPr>
        <w:spacing w:before="60" w:after="60"/>
      </w:pPr>
      <w:r>
        <w:rPr>
          <w:rFonts w:ascii="Arial" w:cs="Arial" w:eastAsia="Arial" w:hAnsi="Arial"/>
          <w:sz w:val="18"/>
          <w:szCs w:val="18"/>
        </w:rPr>
        <w:t xml:space="preserve">If Phase I does not identify an assignable laboratory cause: proceed to Phase II — Cleaning Investigation. Review: cleaning procedure compliance, cleaning agent preparation records, CIP parameter printout, operator training, DHT compliance, equipment condition.</w:t>
      </w:r>
    </w:p>
    <w:p>
      <w:pPr>
        <w:pStyle w:val="ListParagraph"/>
        <w:numPr>
          <w:ilvl w:val="0"/>
          <w:numId w:val="3"/>
        </w:numPr>
        <w:spacing w:before="60" w:after="60"/>
      </w:pPr>
      <w:r>
        <w:rPr>
          <w:rFonts w:ascii="Arial" w:cs="Arial" w:eastAsia="Arial" w:hAnsi="Arial"/>
          <w:sz w:val="18"/>
          <w:szCs w:val="18"/>
        </w:rPr>
        <w:t xml:space="preserve">Phase II outcome: identify the root cause of cleaning failure. Classify as: procedure failure, operator error, equipment failure, or product characteristic change.</w:t>
      </w:r>
    </w:p>
    <w:p>
      <w:pPr>
        <w:pStyle w:val="ListParagraph"/>
        <w:numPr>
          <w:ilvl w:val="0"/>
          <w:numId w:val="3"/>
        </w:numPr>
        <w:spacing w:before="60" w:after="60"/>
      </w:pPr>
      <w:r>
        <w:rPr>
          <w:rFonts w:ascii="Arial" w:cs="Arial" w:eastAsia="Arial" w:hAnsi="Arial"/>
          <w:sz w:val="18"/>
          <w:szCs w:val="18"/>
        </w:rPr>
        <w:t xml:space="preserve">Re-clean the equipment per an enhanced cleaning procedure approved by QA. Collect and test a new set of samples. Document all results.</w:t>
      </w:r>
    </w:p>
    <w:p>
      <w:pPr>
        <w:pStyle w:val="ListParagraph"/>
        <w:numPr>
          <w:ilvl w:val="0"/>
          <w:numId w:val="3"/>
        </w:numPr>
        <w:spacing w:before="60" w:after="60"/>
      </w:pPr>
      <w:r>
        <w:rPr>
          <w:rFonts w:ascii="Arial" w:cs="Arial" w:eastAsia="Arial" w:hAnsi="Arial"/>
          <w:sz w:val="18"/>
          <w:szCs w:val="18"/>
        </w:rPr>
        <w:t xml:space="preserve">After two consecutive OOS results from the same cleaning procedure, escalate to a formal Cleaning Validation Review — the cleaning procedure may require revalidation or modification.</w:t>
      </w:r>
    </w:p>
    <w:p>
      <w:pPr>
        <w:pStyle w:val="ListParagraph"/>
        <w:numPr>
          <w:ilvl w:val="0"/>
          <w:numId w:val="3"/>
        </w:numPr>
        <w:spacing w:before="60" w:after="60"/>
      </w:pPr>
      <w:r>
        <w:rPr>
          <w:rFonts w:ascii="Arial" w:cs="Arial" w:eastAsia="Arial" w:hAnsi="Arial"/>
          <w:sz w:val="18"/>
          <w:szCs w:val="18"/>
        </w:rPr>
        <w:t xml:space="preserve">Complete CAPA [CAPA-FORM-001]: root cause, corrective action, preventive action, effectiveness verification date. CAPA must be closed within the timeframe approved by QA.</w:t>
      </w:r>
    </w:p>
    <w:p>
      <w:pPr>
        <w:spacing w:before="0" w:after="0"/>
      </w:pPr>
      <w:r>
        <w:rPr>
          <w:sz w:val="18"/>
          <w:szCs w:val="18"/>
        </w:rPr>
        <w:t xml:space="preserve"/>
      </w:r>
    </w:p>
    <w:p>
      <w:pPr>
        <w:pStyle w:val="Heading1"/>
        <w:pBdr>
          <w:bottom w:val="single" w:color="3A72C9" w:sz="6" w:space="4"/>
        </w:pBdr>
        <w:spacing w:before="280" w:after="120"/>
      </w:pPr>
      <w:r>
        <w:rPr>
          <w:rFonts w:ascii="Arial" w:cs="Arial" w:eastAsia="Arial" w:hAnsi="Arial"/>
          <w:b/>
          <w:bCs/>
          <w:color w:val="1B2A4A"/>
          <w:sz w:val="28"/>
          <w:szCs w:val="28"/>
        </w:rPr>
        <w:t xml:space="preserve">14. REVALIDATION / REQUALIFICATION TRIGGERS</w:t>
      </w:r>
    </w:p>
    <w:p>
      <w:pPr>
        <w:spacing w:before="60" w:after="60"/>
      </w:pPr>
      <w:r>
        <w:rPr>
          <w:rFonts w:ascii="Arial" w:cs="Arial" w:eastAsia="Arial" w:hAnsi="Arial"/>
          <w:sz w:val="18"/>
          <w:szCs w:val="18"/>
        </w:rPr>
        <w:t xml:space="preserve">Cleaning revalidation shall be initiated when any of the following changes occur (managed through Change Control SOP [SOP-QA-CC-XXX]):</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00"/>
        <w:gridCol w:w="5200"/>
        <w:gridCol w:w="3426"/>
      </w:tblGrid>
      <w:tr>
        <w:trPr>
          <w:tblHeader/>
        </w:trPr>
        <w:tc>
          <w:tcPr>
            <w:tcW w:type="dxa" w:w="4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w:t>
            </w:r>
          </w:p>
        </w:tc>
        <w:tc>
          <w:tcPr>
            <w:tcW w:type="dxa" w:w="52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Trigger Event</w:t>
            </w:r>
          </w:p>
        </w:tc>
        <w:tc>
          <w:tcPr>
            <w:tcW w:type="dxa" w:w="3426"/>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Action Required</w:t>
            </w:r>
          </w:p>
        </w:tc>
      </w:tr>
      <w:tr>
        <w:tc>
          <w:tcPr>
            <w:tcW w:type="dxa" w:w="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1</w:t>
            </w:r>
          </w:p>
        </w:tc>
        <w:tc>
          <w:tcPr>
            <w:tcW w:type="dxa" w:w="5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New product or new API added to shared equipment</w:t>
            </w:r>
          </w:p>
        </w:tc>
        <w:tc>
          <w:tcPr>
            <w:tcW w:type="dxa" w:w="3426"/>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Full cleaning validation for new product-pair; update CVMP</w:t>
            </w:r>
          </w:p>
        </w:tc>
      </w:tr>
      <w:tr>
        <w:tc>
          <w:tcPr>
            <w:tcW w:type="dxa" w:w="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2</w:t>
            </w:r>
          </w:p>
        </w:tc>
        <w:tc>
          <w:tcPr>
            <w:tcW w:type="dxa" w:w="5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Change in cleaning agent (type, supplier, or grade)</w:t>
            </w:r>
          </w:p>
        </w:tc>
        <w:tc>
          <w:tcPr>
            <w:tcW w:type="dxa" w:w="3426"/>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Revalidation with new agent; interim period requires QA approval</w:t>
            </w:r>
          </w:p>
        </w:tc>
      </w:tr>
      <w:tr>
        <w:tc>
          <w:tcPr>
            <w:tcW w:type="dxa" w:w="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3</w:t>
            </w:r>
          </w:p>
        </w:tc>
        <w:tc>
          <w:tcPr>
            <w:tcW w:type="dxa" w:w="5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Change in cleaning procedure (concentration, temperature, time, method)</w:t>
            </w:r>
          </w:p>
        </w:tc>
        <w:tc>
          <w:tcPr>
            <w:tcW w:type="dxa" w:w="3426"/>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Revalidation of modified procedure; change control required</w:t>
            </w:r>
          </w:p>
        </w:tc>
      </w:tr>
      <w:tr>
        <w:tc>
          <w:tcPr>
            <w:tcW w:type="dxa" w:w="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4</w:t>
            </w:r>
          </w:p>
        </w:tc>
        <w:tc>
          <w:tcPr>
            <w:tcW w:type="dxa" w:w="5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Major equipment modification (new surface, weld, gasket change, resizing)</w:t>
            </w:r>
          </w:p>
        </w:tc>
        <w:tc>
          <w:tcPr>
            <w:tcW w:type="dxa" w:w="3426"/>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IQ/OQ of modification + cleaning revalidation for affected surfaces</w:t>
            </w:r>
          </w:p>
        </w:tc>
      </w:tr>
      <w:tr>
        <w:tc>
          <w:tcPr>
            <w:tcW w:type="dxa" w:w="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5</w:t>
            </w:r>
          </w:p>
        </w:tc>
        <w:tc>
          <w:tcPr>
            <w:tcW w:type="dxa" w:w="5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Change in product formulation (new excipient, API source, or process route)</w:t>
            </w:r>
          </w:p>
        </w:tc>
        <w:tc>
          <w:tcPr>
            <w:tcW w:type="dxa" w:w="3426"/>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MACO recalculation; revalidation if limits change or product harder to remove</w:t>
            </w:r>
          </w:p>
        </w:tc>
      </w:tr>
      <w:tr>
        <w:tc>
          <w:tcPr>
            <w:tcW w:type="dxa" w:w="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6</w:t>
            </w:r>
          </w:p>
        </w:tc>
        <w:tc>
          <w:tcPr>
            <w:tcW w:type="dxa" w:w="5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Equipment relocation or reinstallation</w:t>
            </w:r>
          </w:p>
        </w:tc>
        <w:tc>
          <w:tcPr>
            <w:tcW w:type="dxa" w:w="3426"/>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IQ/OQ requalification + cleaning validation confirmation run</w:t>
            </w:r>
          </w:p>
        </w:tc>
      </w:tr>
      <w:tr>
        <w:tc>
          <w:tcPr>
            <w:tcW w:type="dxa" w:w="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7</w:t>
            </w:r>
          </w:p>
        </w:tc>
        <w:tc>
          <w:tcPr>
            <w:tcW w:type="dxa" w:w="5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Recurring OOS cleaning results (≥ 2 failures in 12 months)</w:t>
            </w:r>
          </w:p>
        </w:tc>
        <w:tc>
          <w:tcPr>
            <w:tcW w:type="dxa" w:w="3426"/>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Root cause analysis + revalidation; consider dedicated equipment</w:t>
            </w:r>
          </w:p>
        </w:tc>
      </w:tr>
      <w:tr>
        <w:tc>
          <w:tcPr>
            <w:tcW w:type="dxa" w:w="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8</w:t>
            </w:r>
          </w:p>
        </w:tc>
        <w:tc>
          <w:tcPr>
            <w:tcW w:type="dxa" w:w="5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Change in batch size (smaller batch = lower MACO; may require more stringent limit)</w:t>
            </w:r>
          </w:p>
        </w:tc>
        <w:tc>
          <w:tcPr>
            <w:tcW w:type="dxa" w:w="3426"/>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Recalculate MACO; update acceptance criteria and revalidate if needed</w:t>
            </w:r>
          </w:p>
        </w:tc>
      </w:tr>
      <w:tr>
        <w:tc>
          <w:tcPr>
            <w:tcW w:type="dxa" w:w="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9</w:t>
            </w:r>
          </w:p>
        </w:tc>
        <w:tc>
          <w:tcPr>
            <w:tcW w:type="dxa" w:w="5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HBEL/PDE revision by toxicologist</w:t>
            </w:r>
          </w:p>
        </w:tc>
        <w:tc>
          <w:tcPr>
            <w:tcW w:type="dxa" w:w="3426"/>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Recalculate acceptance criteria; revalidation if limits become more stringent</w:t>
            </w:r>
          </w:p>
        </w:tc>
      </w:tr>
      <w:tr>
        <w:tc>
          <w:tcPr>
            <w:tcW w:type="dxa" w:w="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10</w:t>
            </w:r>
          </w:p>
        </w:tc>
        <w:tc>
          <w:tcPr>
            <w:tcW w:type="dxa" w:w="5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Periodic revalidation (if specified in CVMP, typically every 3 years or after defined number of batches)</w:t>
            </w:r>
          </w:p>
        </w:tc>
        <w:tc>
          <w:tcPr>
            <w:tcW w:type="dxa" w:w="3426"/>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Scheduled revalidation per CVMP; at least 1 confirmatory run</w:t>
            </w:r>
          </w:p>
        </w:tc>
      </w:tr>
    </w:tbl>
    <w:p>
      <w:pPr>
        <w:spacing w:before="0" w:after="0"/>
      </w:pPr>
      <w:r>
        <w:rPr>
          <w:sz w:val="18"/>
          <w:szCs w:val="18"/>
        </w:rPr>
        <w:t xml:space="preserve"/>
      </w:r>
    </w:p>
    <w:p>
      <w:pPr>
        <w:pStyle w:val="Heading1"/>
        <w:pBdr>
          <w:bottom w:val="single" w:color="3A72C9" w:sz="6" w:space="4"/>
        </w:pBdr>
        <w:spacing w:before="280" w:after="120"/>
      </w:pPr>
      <w:r>
        <w:rPr>
          <w:rFonts w:ascii="Arial" w:cs="Arial" w:eastAsia="Arial" w:hAnsi="Arial"/>
          <w:b/>
          <w:bCs/>
          <w:color w:val="1B2A4A"/>
          <w:sz w:val="28"/>
          <w:szCs w:val="28"/>
        </w:rPr>
        <w:t xml:space="preserve">15. TRAINING REQUIREMENTS</w:t>
      </w:r>
    </w:p>
    <w:p>
      <w:pPr>
        <w:pStyle w:val="ListParagraph"/>
        <w:numPr>
          <w:ilvl w:val="0"/>
          <w:numId w:val="2"/>
        </w:numPr>
        <w:spacing w:before="40" w:after="40"/>
      </w:pPr>
      <w:r>
        <w:rPr>
          <w:rFonts w:ascii="Arial" w:cs="Arial" w:eastAsia="Arial" w:hAnsi="Arial"/>
          <w:sz w:val="18"/>
          <w:szCs w:val="18"/>
        </w:rPr>
        <w:t xml:space="preserve">All personnel performing equipment cleaning must complete the GMP Cleaning Training module [TRN-CLN-001] before performing any cleaning unsupervised; training includes: theory, SOP review, observed practical assessment.</w:t>
      </w:r>
    </w:p>
    <w:p>
      <w:pPr>
        <w:pStyle w:val="ListParagraph"/>
        <w:numPr>
          <w:ilvl w:val="0"/>
          <w:numId w:val="2"/>
        </w:numPr>
        <w:spacing w:before="40" w:after="40"/>
      </w:pPr>
      <w:r>
        <w:rPr>
          <w:rFonts w:ascii="Arial" w:cs="Arial" w:eastAsia="Arial" w:hAnsi="Arial"/>
          <w:sz w:val="18"/>
          <w:szCs w:val="18"/>
        </w:rPr>
        <w:t xml:space="preserve">Training is documented in the Training Register [FORM-TRN-REG-001]; assessment score must be ≥ 80% to qualify for independent cleaning.</w:t>
      </w:r>
    </w:p>
    <w:p>
      <w:pPr>
        <w:pStyle w:val="ListParagraph"/>
        <w:numPr>
          <w:ilvl w:val="0"/>
          <w:numId w:val="2"/>
        </w:numPr>
        <w:spacing w:before="40" w:after="40"/>
      </w:pPr>
      <w:r>
        <w:rPr>
          <w:rFonts w:ascii="Arial" w:cs="Arial" w:eastAsia="Arial" w:hAnsi="Arial"/>
          <w:sz w:val="18"/>
          <w:szCs w:val="18"/>
        </w:rPr>
        <w:t xml:space="preserve">Re-training is mandatory following: SOP revision, significant cleaning deviation, change of cleaning agent or equipment, or QA-directed refresher.</w:t>
      </w:r>
    </w:p>
    <w:p>
      <w:pPr>
        <w:pStyle w:val="ListParagraph"/>
        <w:numPr>
          <w:ilvl w:val="0"/>
          <w:numId w:val="2"/>
        </w:numPr>
        <w:spacing w:before="40" w:after="40"/>
      </w:pPr>
      <w:r>
        <w:rPr>
          <w:rFonts w:ascii="Arial" w:cs="Arial" w:eastAsia="Arial" w:hAnsi="Arial"/>
          <w:sz w:val="18"/>
          <w:szCs w:val="18"/>
        </w:rPr>
        <w:t xml:space="preserve">Microbiological awareness training is required for personnel cleaning equipment used in sterile or aseptic operations.</w:t>
      </w:r>
    </w:p>
    <w:p>
      <w:pPr>
        <w:pStyle w:val="ListParagraph"/>
        <w:numPr>
          <w:ilvl w:val="0"/>
          <w:numId w:val="2"/>
        </w:numPr>
        <w:spacing w:before="40" w:after="40"/>
      </w:pPr>
      <w:r>
        <w:rPr>
          <w:rFonts w:ascii="Arial" w:cs="Arial" w:eastAsia="Arial" w:hAnsi="Arial"/>
          <w:sz w:val="18"/>
          <w:szCs w:val="18"/>
        </w:rPr>
        <w:t xml:space="preserve">Data integrity training (ALCOA+ principles) must be completed before personnel are authorised to complete cleaning records.</w:t>
      </w:r>
    </w:p>
    <w:p>
      <w:pPr>
        <w:spacing w:before="0" w:after="0"/>
      </w:pPr>
      <w:r>
        <w:rPr>
          <w:sz w:val="18"/>
          <w:szCs w:val="18"/>
        </w:rPr>
        <w:t xml:space="preserve"/>
      </w:r>
    </w:p>
    <w:p>
      <w:pPr>
        <w:pStyle w:val="Heading1"/>
        <w:pBdr>
          <w:bottom w:val="single" w:color="3A72C9" w:sz="6" w:space="4"/>
        </w:pBdr>
        <w:spacing w:before="280" w:after="120"/>
      </w:pPr>
      <w:r>
        <w:rPr>
          <w:rFonts w:ascii="Arial" w:cs="Arial" w:eastAsia="Arial" w:hAnsi="Arial"/>
          <w:b/>
          <w:bCs/>
          <w:color w:val="1B2A4A"/>
          <w:sz w:val="28"/>
          <w:szCs w:val="28"/>
        </w:rPr>
        <w:t xml:space="preserve">16. ASSOCIATED DOCUMENTS &amp; FORMS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600"/>
        <w:gridCol w:w="4226"/>
        <w:gridCol w:w="2200"/>
      </w:tblGrid>
      <w:tr>
        <w:trPr>
          <w:tblHeader/>
        </w:trPr>
        <w:tc>
          <w:tcPr>
            <w:tcW w:type="dxa" w:w="26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Document Number</w:t>
            </w:r>
          </w:p>
        </w:tc>
        <w:tc>
          <w:tcPr>
            <w:tcW w:type="dxa" w:w="4226"/>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Document Title</w:t>
            </w:r>
          </w:p>
        </w:tc>
        <w:tc>
          <w:tcPr>
            <w:tcW w:type="dxa" w:w="22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Department Owner</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VAL-CVMP-001</w:t>
            </w:r>
          </w:p>
        </w:tc>
        <w:tc>
          <w:tcPr>
            <w:tcW w:type="dxa" w:w="4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Cleaning Validation Master Plan</w:t>
            </w:r>
          </w:p>
        </w:tc>
        <w:tc>
          <w:tcPr>
            <w:tcW w:type="dxa" w:w="2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Validation / QA</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SOP-CLN-ESC-XXX</w:t>
            </w:r>
          </w:p>
        </w:tc>
        <w:tc>
          <w:tcPr>
            <w:tcW w:type="dxa" w:w="4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Equipment-Specific Cleaning Instructions (ESCI) — [Equipment Name]</w:t>
            </w:r>
          </w:p>
        </w:tc>
        <w:tc>
          <w:tcPr>
            <w:tcW w:type="dxa" w:w="2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Production / QA</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FORM-CLN-LOG-001</w:t>
            </w:r>
          </w:p>
        </w:tc>
        <w:tc>
          <w:tcPr>
            <w:tcW w:type="dxa" w:w="4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Equipment Cleaning Logbook</w:t>
            </w:r>
          </w:p>
        </w:tc>
        <w:tc>
          <w:tcPr>
            <w:tcW w:type="dxa" w:w="2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Production</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FORM-CLN-CBR-XXX</w:t>
            </w:r>
          </w:p>
        </w:tc>
        <w:tc>
          <w:tcPr>
            <w:tcW w:type="dxa" w:w="4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Cleaning Batch Record (CBR)</w:t>
            </w:r>
          </w:p>
        </w:tc>
        <w:tc>
          <w:tcPr>
            <w:tcW w:type="dxa" w:w="2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Production / QA</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FORM-CLN-LC-001</w:t>
            </w:r>
          </w:p>
        </w:tc>
        <w:tc>
          <w:tcPr>
            <w:tcW w:type="dxa" w:w="4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Line Clearance Form</w:t>
            </w:r>
          </w:p>
        </w:tc>
        <w:tc>
          <w:tcPr>
            <w:tcW w:type="dxa" w:w="2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Production / QA</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FORM-ENG-LOG-XXX</w:t>
            </w:r>
          </w:p>
        </w:tc>
        <w:tc>
          <w:tcPr>
            <w:tcW w:type="dxa" w:w="4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Equipment Logbook / Use Log</w:t>
            </w:r>
          </w:p>
        </w:tc>
        <w:tc>
          <w:tcPr>
            <w:tcW w:type="dxa" w:w="2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Engineering / Production</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QA-REG-CLN-001</w:t>
            </w:r>
          </w:p>
        </w:tc>
        <w:tc>
          <w:tcPr>
            <w:tcW w:type="dxa" w:w="4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Approved Cleaning Agents Register</w:t>
            </w:r>
          </w:p>
        </w:tc>
        <w:tc>
          <w:tcPr>
            <w:tcW w:type="dxa" w:w="2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QA</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QA-WI-CLN-002</w:t>
            </w:r>
          </w:p>
        </w:tc>
        <w:tc>
          <w:tcPr>
            <w:tcW w:type="dxa" w:w="4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Cleaning Equipment Colour-Coding Chart</w:t>
            </w:r>
          </w:p>
        </w:tc>
        <w:tc>
          <w:tcPr>
            <w:tcW w:type="dxa" w:w="2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QA / Production</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SOP-QA-DEV-XXX</w:t>
            </w:r>
          </w:p>
        </w:tc>
        <w:tc>
          <w:tcPr>
            <w:tcW w:type="dxa" w:w="4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Deviation Management SOP</w:t>
            </w:r>
          </w:p>
        </w:tc>
        <w:tc>
          <w:tcPr>
            <w:tcW w:type="dxa" w:w="2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QA</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CAPA-FORM-001</w:t>
            </w:r>
          </w:p>
        </w:tc>
        <w:tc>
          <w:tcPr>
            <w:tcW w:type="dxa" w:w="4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CAPA Request Form</w:t>
            </w:r>
          </w:p>
        </w:tc>
        <w:tc>
          <w:tcPr>
            <w:tcW w:type="dxa" w:w="2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QA</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SOP-QA-CC-XXX</w:t>
            </w:r>
          </w:p>
        </w:tc>
        <w:tc>
          <w:tcPr>
            <w:tcW w:type="dxa" w:w="4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Change Control SOP</w:t>
            </w:r>
          </w:p>
        </w:tc>
        <w:tc>
          <w:tcPr>
            <w:tcW w:type="dxa" w:w="2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QA</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TRN-CLN-001</w:t>
            </w:r>
          </w:p>
        </w:tc>
        <w:tc>
          <w:tcPr>
            <w:tcW w:type="dxa" w:w="4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GMP Cleaning Training Module</w:t>
            </w:r>
          </w:p>
        </w:tc>
        <w:tc>
          <w:tcPr>
            <w:tcW w:type="dxa" w:w="2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QA / Production</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SOP-ENV-XXX</w:t>
            </w:r>
          </w:p>
        </w:tc>
        <w:tc>
          <w:tcPr>
            <w:tcW w:type="dxa" w:w="4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Environmental / Area Cleaning SOP</w:t>
            </w:r>
          </w:p>
        </w:tc>
        <w:tc>
          <w:tcPr>
            <w:tcW w:type="dxa" w:w="2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Production</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VAL-CVS-XXX</w:t>
            </w:r>
          </w:p>
        </w:tc>
        <w:tc>
          <w:tcPr>
            <w:tcW w:type="dxa" w:w="4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Cleaning Validation Summary Sheet (per equipment)</w:t>
            </w:r>
          </w:p>
        </w:tc>
        <w:tc>
          <w:tcPr>
            <w:tcW w:type="dxa" w:w="2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Validation / QA</w:t>
            </w:r>
          </w:p>
        </w:tc>
      </w:tr>
    </w:tbl>
    <w:p>
      <w:pPr>
        <w:spacing w:before="0" w:after="0"/>
      </w:pPr>
      <w:r>
        <w:rPr>
          <w:sz w:val="18"/>
          <w:szCs w:val="18"/>
        </w:rPr>
        <w:t xml:space="preserve"/>
      </w:r>
    </w:p>
    <w:p>
      <w:pPr>
        <w:pStyle w:val="Heading1"/>
        <w:pBdr>
          <w:bottom w:val="single" w:color="3A72C9" w:sz="6" w:space="4"/>
        </w:pBdr>
        <w:spacing w:before="280" w:after="120"/>
      </w:pPr>
      <w:r>
        <w:rPr>
          <w:rFonts w:ascii="Arial" w:cs="Arial" w:eastAsia="Arial" w:hAnsi="Arial"/>
          <w:b/>
          <w:bCs/>
          <w:color w:val="1B2A4A"/>
          <w:sz w:val="28"/>
          <w:szCs w:val="28"/>
        </w:rPr>
        <w:t xml:space="preserve">17. GLOSSARY OF ABBREVIATIONS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400"/>
        <w:gridCol w:w="3113"/>
        <w:gridCol w:w="1400"/>
        <w:gridCol w:w="3113"/>
      </w:tblGrid>
      <w:tr>
        <w:trPr>
          <w:tblHeader/>
        </w:trPr>
        <w:tc>
          <w:tcPr>
            <w:tcW w:type="dxa" w:w="14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Abbreviation</w:t>
            </w:r>
          </w:p>
        </w:tc>
        <w:tc>
          <w:tcPr>
            <w:tcW w:type="dxa" w:w="3113"/>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Meaning</w:t>
            </w:r>
          </w:p>
        </w:tc>
        <w:tc>
          <w:tcPr>
            <w:tcW w:type="dxa" w:w="14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Abbreviation</w:t>
            </w:r>
          </w:p>
        </w:tc>
        <w:tc>
          <w:tcPr>
            <w:tcW w:type="dxa" w:w="3113"/>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Meaning</w:t>
            </w:r>
          </w:p>
        </w:tc>
      </w:tr>
      <w:tr>
        <w:tc>
          <w:tcPr>
            <w:tcW w:type="dxa" w:w="1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ALCOA+</w:t>
            </w:r>
          </w:p>
        </w:tc>
        <w:tc>
          <w:tcPr>
            <w:tcW w:type="dxa" w:w="31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Attributable, Legible, Contemporaneous, Original, Accurate +</w:t>
            </w:r>
          </w:p>
        </w:tc>
        <w:tc>
          <w:tcPr>
            <w:tcW w:type="dxa" w:w="1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MACO</w:t>
            </w:r>
          </w:p>
        </w:tc>
        <w:tc>
          <w:tcPr>
            <w:tcW w:type="dxa" w:w="31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Maximum Allowable Carry-Over</w:t>
            </w:r>
          </w:p>
        </w:tc>
      </w:tr>
      <w:tr>
        <w:tc>
          <w:tcPr>
            <w:tcW w:type="dxa" w:w="1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API</w:t>
            </w:r>
          </w:p>
        </w:tc>
        <w:tc>
          <w:tcPr>
            <w:tcW w:type="dxa" w:w="31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Active Pharmaceutical Ingredient</w:t>
            </w:r>
          </w:p>
        </w:tc>
        <w:tc>
          <w:tcPr>
            <w:tcW w:type="dxa" w:w="1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PDE</w:t>
            </w:r>
          </w:p>
        </w:tc>
        <w:tc>
          <w:tcPr>
            <w:tcW w:type="dxa" w:w="31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Permitted Daily Exposure</w:t>
            </w:r>
          </w:p>
        </w:tc>
      </w:tr>
      <w:tr>
        <w:tc>
          <w:tcPr>
            <w:tcW w:type="dxa" w:w="1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CAPA</w:t>
            </w:r>
          </w:p>
        </w:tc>
        <w:tc>
          <w:tcPr>
            <w:tcW w:type="dxa" w:w="31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Corrective and Preventive Action</w:t>
            </w:r>
          </w:p>
        </w:tc>
        <w:tc>
          <w:tcPr>
            <w:tcW w:type="dxa" w:w="1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PHT</w:t>
            </w:r>
          </w:p>
        </w:tc>
        <w:tc>
          <w:tcPr>
            <w:tcW w:type="dxa" w:w="31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Dirty Hold Time</w:t>
            </w:r>
          </w:p>
        </w:tc>
      </w:tr>
      <w:tr>
        <w:tc>
          <w:tcPr>
            <w:tcW w:type="dxa" w:w="1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CBR</w:t>
            </w:r>
          </w:p>
        </w:tc>
        <w:tc>
          <w:tcPr>
            <w:tcW w:type="dxa" w:w="31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Cleaning Batch Record</w:t>
            </w:r>
          </w:p>
        </w:tc>
        <w:tc>
          <w:tcPr>
            <w:tcW w:type="dxa" w:w="1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CHT</w:t>
            </w:r>
          </w:p>
        </w:tc>
        <w:tc>
          <w:tcPr>
            <w:tcW w:type="dxa" w:w="31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Clean Hold Time</w:t>
            </w:r>
          </w:p>
        </w:tc>
      </w:tr>
      <w:tr>
        <w:tc>
          <w:tcPr>
            <w:tcW w:type="dxa" w:w="1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CIP</w:t>
            </w:r>
          </w:p>
        </w:tc>
        <w:tc>
          <w:tcPr>
            <w:tcW w:type="dxa" w:w="31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Cleaning-in-Place</w:t>
            </w:r>
          </w:p>
        </w:tc>
        <w:tc>
          <w:tcPr>
            <w:tcW w:type="dxa" w:w="1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PW</w:t>
            </w:r>
          </w:p>
        </w:tc>
        <w:tc>
          <w:tcPr>
            <w:tcW w:type="dxa" w:w="31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Purified Water</w:t>
            </w:r>
          </w:p>
        </w:tc>
      </w:tr>
      <w:tr>
        <w:tc>
          <w:tcPr>
            <w:tcW w:type="dxa" w:w="1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COP</w:t>
            </w:r>
          </w:p>
        </w:tc>
        <w:tc>
          <w:tcPr>
            <w:tcW w:type="dxa" w:w="31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Cleaning-out-of-Place</w:t>
            </w:r>
          </w:p>
        </w:tc>
        <w:tc>
          <w:tcPr>
            <w:tcW w:type="dxa" w:w="1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QA</w:t>
            </w:r>
          </w:p>
        </w:tc>
        <w:tc>
          <w:tcPr>
            <w:tcW w:type="dxa" w:w="31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Quality Assurance</w:t>
            </w:r>
          </w:p>
        </w:tc>
      </w:tr>
      <w:tr>
        <w:tc>
          <w:tcPr>
            <w:tcW w:type="dxa" w:w="1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CVMP</w:t>
            </w:r>
          </w:p>
        </w:tc>
        <w:tc>
          <w:tcPr>
            <w:tcW w:type="dxa" w:w="31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Cleaning Validation Master Plan</w:t>
            </w:r>
          </w:p>
        </w:tc>
        <w:tc>
          <w:tcPr>
            <w:tcW w:type="dxa" w:w="1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QC</w:t>
            </w:r>
          </w:p>
        </w:tc>
        <w:tc>
          <w:tcPr>
            <w:tcW w:type="dxa" w:w="31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Quality Control</w:t>
            </w:r>
          </w:p>
        </w:tc>
      </w:tr>
      <w:tr>
        <w:tc>
          <w:tcPr>
            <w:tcW w:type="dxa" w:w="1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ESCI</w:t>
            </w:r>
          </w:p>
        </w:tc>
        <w:tc>
          <w:tcPr>
            <w:tcW w:type="dxa" w:w="31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Equipment-Specific Cleaning Instruction</w:t>
            </w:r>
          </w:p>
        </w:tc>
        <w:tc>
          <w:tcPr>
            <w:tcW w:type="dxa" w:w="1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SOP</w:t>
            </w:r>
          </w:p>
        </w:tc>
        <w:tc>
          <w:tcPr>
            <w:tcW w:type="dxa" w:w="31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Standard Operating Procedure</w:t>
            </w:r>
          </w:p>
        </w:tc>
      </w:tr>
      <w:tr>
        <w:tc>
          <w:tcPr>
            <w:tcW w:type="dxa" w:w="1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GMP</w:t>
            </w:r>
          </w:p>
        </w:tc>
        <w:tc>
          <w:tcPr>
            <w:tcW w:type="dxa" w:w="31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Good Manufacturing Practice</w:t>
            </w:r>
          </w:p>
        </w:tc>
        <w:tc>
          <w:tcPr>
            <w:tcW w:type="dxa" w:w="1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TOC</w:t>
            </w:r>
          </w:p>
        </w:tc>
        <w:tc>
          <w:tcPr>
            <w:tcW w:type="dxa" w:w="31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Total Organic Carbon</w:t>
            </w:r>
          </w:p>
        </w:tc>
      </w:tr>
      <w:tr>
        <w:tc>
          <w:tcPr>
            <w:tcW w:type="dxa" w:w="1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HBEL</w:t>
            </w:r>
          </w:p>
        </w:tc>
        <w:tc>
          <w:tcPr>
            <w:tcW w:type="dxa" w:w="31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Health-Based Exposure Limit</w:t>
            </w:r>
          </w:p>
        </w:tc>
        <w:tc>
          <w:tcPr>
            <w:tcW w:type="dxa" w:w="1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WFI</w:t>
            </w:r>
          </w:p>
        </w:tc>
        <w:tc>
          <w:tcPr>
            <w:tcW w:type="dxa" w:w="31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Water for Injection</w:t>
            </w:r>
          </w:p>
        </w:tc>
      </w:tr>
    </w:tbl>
    <w:p>
      <w:pPr>
        <w:spacing w:before="0" w:after="0"/>
      </w:pPr>
      <w:r>
        <w:rPr>
          <w:sz w:val="18"/>
          <w:szCs w:val="18"/>
        </w:rPr>
        <w:t xml:space="preserve"/>
      </w:r>
    </w:p>
    <w:p>
      <w:pPr>
        <w:pStyle w:val="Heading1"/>
        <w:pBdr>
          <w:bottom w:val="single" w:color="3A72C9" w:sz="6" w:space="4"/>
        </w:pBdr>
        <w:spacing w:before="280" w:after="120"/>
      </w:pPr>
      <w:r>
        <w:rPr>
          <w:rFonts w:ascii="Arial" w:cs="Arial" w:eastAsia="Arial" w:hAnsi="Arial"/>
          <w:b/>
          <w:bCs/>
          <w:color w:val="1B2A4A"/>
          <w:sz w:val="28"/>
          <w:szCs w:val="28"/>
        </w:rPr>
        <w:t xml:space="preserve">18. APPROVAL SIGNATURES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6"/>
        <w:gridCol w:w="2257"/>
        <w:gridCol w:w="2257"/>
        <w:gridCol w:w="2256"/>
      </w:tblGrid>
      <w:tr>
        <w:trPr>
          <w:tblHeader/>
        </w:trPr>
        <w:tc>
          <w:tcPr>
            <w:tcW w:type="dxa" w:w="2256"/>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Role</w:t>
            </w:r>
          </w:p>
        </w:tc>
        <w:tc>
          <w:tcPr>
            <w:tcW w:type="dxa" w:w="2257"/>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Name</w:t>
            </w:r>
          </w:p>
        </w:tc>
        <w:tc>
          <w:tcPr>
            <w:tcW w:type="dxa" w:w="2257"/>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Signature</w:t>
            </w:r>
          </w:p>
        </w:tc>
        <w:tc>
          <w:tcPr>
            <w:tcW w:type="dxa" w:w="2256"/>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Date</w:t>
            </w:r>
          </w:p>
        </w:tc>
      </w:tr>
      <w:tr>
        <w:tc>
          <w:tcPr>
            <w:tcW w:type="dxa" w:w="2256"/>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Prepared By — [Designation]</w:t>
            </w:r>
          </w:p>
        </w:tc>
        <w:tc>
          <w:tcPr>
            <w:tcW w:type="dxa" w:w="2257"/>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2257"/>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225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r>
      <w:tr>
        <w:tc>
          <w:tcPr>
            <w:tcW w:type="dxa" w:w="2256"/>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Reviewed By — Head Production</w:t>
            </w:r>
          </w:p>
        </w:tc>
        <w:tc>
          <w:tcPr>
            <w:tcW w:type="dxa" w:w="2257"/>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2257"/>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225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r>
      <w:tr>
        <w:tc>
          <w:tcPr>
            <w:tcW w:type="dxa" w:w="2256"/>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Reviewed By — Head QC</w:t>
            </w:r>
          </w:p>
        </w:tc>
        <w:tc>
          <w:tcPr>
            <w:tcW w:type="dxa" w:w="2257"/>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2257"/>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225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r>
      <w:tr>
        <w:tc>
          <w:tcPr>
            <w:tcW w:type="dxa" w:w="2256"/>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Reviewed By — Validation Manager</w:t>
            </w:r>
          </w:p>
        </w:tc>
        <w:tc>
          <w:tcPr>
            <w:tcW w:type="dxa" w:w="2257"/>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2257"/>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225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r>
      <w:tr>
        <w:tc>
          <w:tcPr>
            <w:tcW w:type="dxa" w:w="2256"/>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Approved By — Head Quality Assurance</w:t>
            </w:r>
          </w:p>
        </w:tc>
        <w:tc>
          <w:tcPr>
            <w:tcW w:type="dxa" w:w="2257"/>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2257"/>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225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r>
    </w:tbl>
    <w:p>
      <w:pPr>
        <w:spacing w:before="0" w:after="0"/>
      </w:pPr>
      <w:r>
        <w:rPr>
          <w:sz w:val="18"/>
          <w:szCs w:val="18"/>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0"/>
        <w:gridCol w:w="8126"/>
      </w:tblGrid>
      <w:tr>
        <w:tc>
          <w:tcPr>
            <w:tcW w:type="dxa" w:w="900"/>
            <w:tcBorders>
              <w:top w:val="single" w:color="1B2A4A" w:sz="4"/>
              <w:left w:val="single" w:color="1B2A4A" w:sz="4"/>
              <w:bottom w:val="single" w:color="1B2A4A" w:sz="4"/>
              <w:right w:val="single" w:color="1B2A4A" w:sz="4"/>
            </w:tcBorders>
            <w:shd w:fill="F4F6FA" w:val="clear"/>
            <w:tcMar>
              <w:top w:type="dxa" w:w="80"/>
              <w:left w:type="dxa" w:w="120"/>
              <w:bottom w:type="dxa" w:w="80"/>
              <w:right w:type="dxa" w:w="120"/>
            </w:tcMar>
            <w:vAlign w:val="center"/>
          </w:tcPr>
          <w:p>
            <w:pPr>
              <w:jc w:val="center"/>
            </w:pPr>
            <w:r>
              <w:rPr>
                <w:rFonts w:ascii="Arial" w:cs="Arial" w:eastAsia="Arial" w:hAnsi="Arial"/>
                <w:b/>
                <w:bCs/>
                <w:color w:val="1B2A4A"/>
                <w:sz w:val="18"/>
                <w:szCs w:val="18"/>
              </w:rPr>
              <w:t xml:space="preserve">CONTROLLED</w:t>
            </w:r>
          </w:p>
        </w:tc>
        <w:tc>
          <w:tcPr>
            <w:tcW w:type="dxa" w:w="8126"/>
            <w:tcBorders>
              <w:top w:val="single" w:color="1B2A4A" w:sz="4"/>
              <w:left w:val="single" w:color="1B2A4A" w:sz="4"/>
              <w:bottom w:val="single" w:color="1B2A4A" w:sz="4"/>
              <w:right w:val="single" w:color="1B2A4A" w:sz="4"/>
            </w:tcBorders>
            <w:shd w:fill="F4F6FA" w:val="clear"/>
            <w:tcMar>
              <w:top w:type="dxa" w:w="80"/>
              <w:left w:type="dxa" w:w="140"/>
              <w:bottom w:type="dxa" w:w="80"/>
              <w:right w:type="dxa" w:w="140"/>
            </w:tcMar>
          </w:tcPr>
          <w:p>
            <w:r>
              <w:rPr>
                <w:rFonts w:ascii="Arial" w:cs="Arial" w:eastAsia="Arial" w:hAnsi="Arial"/>
                <w:i/>
                <w:iCs/>
                <w:sz w:val="18"/>
                <w:szCs w:val="18"/>
              </w:rPr>
              <w:t xml:space="preserve">This SOP is a controlled document. Printed copies are uncontrolled. Always refer to the QMS for the current approved version. Unauthorised modification of this document is prohibited. © schedulem.in — for internal pharmaceutical GMP compliance use only.</w:t>
            </w:r>
          </w:p>
        </w:tc>
      </w:tr>
    </w:tbl>
    <w:sectPr>
      <w:headerReference w:type="default" r:id="rId6"/>
      <w:footerReference w:type="default" r:id="rId7"/>
      <w:pgSz w:w="11906" w:h="16838" w:orient="portrait"/>
      <w:pgMar w:top="1080" w:right="1080" w:bottom="10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3A72C9" w:sz="6" w:space="4"/>
      </w:pBdr>
      <w:tabs>
        <w:tab w:val="center" w:pos="4513"/>
        <w:tab w:val="right" w:pos="9026"/>
      </w:tabs>
      <w:spacing w:before="80"/>
    </w:pPr>
    <w:r>
      <w:rPr>
        <w:rFonts w:ascii="Arial" w:cs="Arial" w:eastAsia="Arial" w:hAnsi="Arial"/>
        <w:color w:val="2E4D8A"/>
        <w:sz w:val="14"/>
        <w:szCs w:val="14"/>
      </w:rPr>
      <w:t xml:space="preserve">Schedule M (G.S.R.227(E)/2023)  |  CONFIDENTIAL</w:t>
    </w:r>
    <w:r>
      <w:rPr>
        <w:rFonts w:ascii="Arial" w:cs="Arial" w:eastAsia="Arial" w:hAnsi="Arial"/>
        <w:color w:val="2E4D8A"/>
        <w:sz w:val="14"/>
        <w:szCs w:val="14"/>
      </w:rPr>
      <w:t xml:space="preserve">	© schedulem.in  |  For Internal Use Only</w:t>
    </w:r>
    <w:r>
      <w:rPr>
        <w:rFonts w:ascii="Arial" w:cs="Arial" w:eastAsia="Arial" w:hAnsi="Arial"/>
        <w:color w:val="2E4D8A"/>
        <w:sz w:val="14"/>
        <w:szCs w:val="14"/>
      </w:rPr>
      <w:t xml:space="preserve">	Page </w:t>
    </w:r>
    <w:r>
      <w:rPr>
        <w:rFonts w:ascii="Arial" w:cs="Arial" w:eastAsia="Arial" w:hAnsi="Arial"/>
        <w:color w:val="2E4D8A"/>
        <w:sz w:val="14"/>
        <w:szCs w:val="14"/>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5800"/>
      <w:gridCol w:w="3226"/>
    </w:tblGrid>
    <w:tr>
      <w:tc>
        <w:tcPr>
          <w:tcW w:type="dxa" w:w="5800"/>
          <w:tcBorders>
            <w:top w:val="nil"/>
            <w:left w:val="nil"/>
            <w:bottom w:val="nil"/>
            <w:right w:val="nil"/>
          </w:tcBorders>
          <w:shd w:fill="1B2A4A" w:val="clear"/>
          <w:tcMar>
            <w:top w:type="dxa" w:w="80"/>
            <w:left w:type="dxa" w:w="160"/>
            <w:bottom w:type="dxa" w:w="80"/>
            <w:right w:type="dxa" w:w="100"/>
          </w:tcMar>
        </w:tcPr>
        <w:p>
          <w:r>
            <w:rPr>
              <w:rFonts w:ascii="Arial" w:cs="Arial" w:eastAsia="Arial" w:hAnsi="Arial"/>
              <w:b/>
              <w:bCs/>
              <w:color w:val="FF9933"/>
              <w:sz w:val="20"/>
              <w:szCs w:val="20"/>
            </w:rPr>
            <w:t xml:space="preserve">schedulem.in</w:t>
          </w:r>
        </w:p>
        <w:p>
          <w:r>
            <w:rPr>
              <w:rFonts w:ascii="Arial" w:cs="Arial" w:eastAsia="Arial" w:hAnsi="Arial"/>
              <w:color w:val="A8C4E8"/>
              <w:sz w:val="16"/>
              <w:szCs w:val="16"/>
            </w:rPr>
            <w:t xml:space="preserve">Standard Operating Procedure — Equipment Cleaning</w:t>
          </w:r>
        </w:p>
      </w:tc>
      <w:tc>
        <w:tcPr>
          <w:tcW w:type="dxa" w:w="3226"/>
          <w:tcBorders>
            <w:top w:val="nil"/>
            <w:left w:val="nil"/>
            <w:bottom w:val="nil"/>
            <w:right w:val="nil"/>
          </w:tcBorders>
          <w:shd w:fill="1B2A4A" w:val="clear"/>
          <w:tcMar>
            <w:top w:type="dxa" w:w="80"/>
            <w:left w:type="dxa" w:w="100"/>
            <w:bottom w:type="dxa" w:w="80"/>
            <w:right w:type="dxa" w:w="160"/>
          </w:tcMar>
          <w:vAlign w:val="center"/>
        </w:tcPr>
        <w:p>
          <w:pPr>
            <w:jc w:val="right"/>
          </w:pPr>
          <w:r>
            <w:rPr>
              <w:rFonts w:ascii="Arial" w:cs="Arial" w:eastAsia="Arial" w:hAnsi="Arial"/>
              <w:color w:val="A8C4E8"/>
              <w:sz w:val="16"/>
              <w:szCs w:val="16"/>
            </w:rPr>
            <w:t xml:space="preserve">SOP No: [SOP-CLN-XXX-001]</w:t>
          </w:r>
        </w:p>
        <w:p>
          <w:pPr>
            <w:jc w:val="right"/>
          </w:pPr>
          <w:r>
            <w:rPr>
              <w:rFonts w:ascii="Arial" w:cs="Arial" w:eastAsia="Arial" w:hAnsi="Arial"/>
              <w:color w:val="A8C4E8"/>
              <w:sz w:val="16"/>
              <w:szCs w:val="16"/>
            </w:rPr>
            <w:t xml:space="preserve">Rev: 01  |  Effective: [DD-MMM-YYYY]</w:t>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60" w:hanging="280"/>
      </w:pPr>
    </w:lvl>
    <w:lvl w:ilvl="1" w15:tentative="1">
      <w:start w:val="1"/>
      <w:numFmt w:val="bullet"/>
      <w:lvlText w:val="◦"/>
      <w:lvlJc w:val="left"/>
      <w:pPr>
        <w:ind w:left="1120" w:hanging="280"/>
      </w:pPr>
    </w:lvl>
  </w:abstractNum>
  <w:abstractNum w:abstractNumId="3" w15:restartNumberingAfterBreak="0">
    <w:multiLevelType w:val="hybridMultilevel"/>
    <w:lvl w:ilvl="0" w15:tentative="1">
      <w:start w:val="1"/>
      <w:numFmt w:val="decimal"/>
      <w:lvlText w:val="%1."/>
      <w:lvlJc w:val="left"/>
      <w:pPr>
        <w:ind w:left="560" w:hanging="280"/>
      </w:pPr>
    </w:lvl>
    <w:lvl w:ilvl="1" w15:tentative="1">
      <w:start w:val="1"/>
      <w:numFmt w:val="lowerLetter"/>
      <w:lvlText w:val="%2."/>
      <w:lvlJc w:val="left"/>
      <w:pPr>
        <w:ind w:left="1120" w:hanging="280"/>
      </w:pPr>
    </w:lvl>
    <w:lvl w:ilvl="2" w15:tentative="1">
      <w:start w:val="1"/>
      <w:numFmt w:val="lowerRoman"/>
      <w:lvlText w:val="%3."/>
      <w:lvlJc w:val="left"/>
      <w:pPr>
        <w:ind w:left="1680" w:hanging="280"/>
      </w:pPr>
    </w:lvl>
  </w:abstractNum>
  <w:abstractNum w:abstractNumId="4" w15:restartNumberingAfterBreak="0">
    <w:multiLevelType w:val="hybridMultilevel"/>
    <w:lvl w:ilvl="0" w15:tentative="1">
      <w:start w:val="1"/>
      <w:numFmt w:val="decimal"/>
      <w:lvlText w:val="%1."/>
      <w:lvlJc w:val="left"/>
      <w:pPr>
        <w:spacing w:before="80" w:after="80"/>
        <w:ind w:left="720" w:hanging="360"/>
      </w:pPr>
    </w:lvl>
    <w:lvl w:ilvl="1" w15:tentative="1">
      <w:start w:val="1"/>
      <w:numFmt w:val="decimal"/>
      <w:lvlText w:val="%1.%2"/>
      <w:lvlJc w:val="left"/>
      <w:pPr>
        <w:spacing w:before="60" w:after="60"/>
        <w:ind w:left="144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18"/>
        <w:szCs w:val="18"/>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280" w:after="120"/>
      <w:outlineLvl w:val="0"/>
    </w:pPr>
    <w:rPr>
      <w:rFonts w:ascii="Arial" w:cs="Arial" w:eastAsia="Arial" w:hAnsi="Arial"/>
      <w:b/>
      <w:bCs/>
      <w:color w:val="1B2A4A"/>
      <w:sz w:val="28"/>
      <w:szCs w:val="28"/>
    </w:rPr>
  </w:style>
  <w:style w:type="paragraph" w:styleId="Heading2">
    <w:name w:val="Heading 2"/>
    <w:basedOn w:val="Normal"/>
    <w:next w:val="Normal"/>
    <w:qFormat/>
    <w:pPr>
      <w:spacing w:before="200" w:after="80"/>
      <w:outlineLvl w:val="1"/>
    </w:pPr>
    <w:rPr>
      <w:rFonts w:ascii="Arial" w:cs="Arial" w:eastAsia="Arial" w:hAnsi="Arial"/>
      <w:b/>
      <w:bCs/>
      <w:color w:val="2E4D8A"/>
      <w:sz w:val="22"/>
      <w:szCs w:val="22"/>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2026-03-08T19:20:38.250Z</dcterms:created>
  <dcterms:modified xsi:type="dcterms:W3CDTF">2026-03-08T19:20:38.251Z</dcterms:modified>
</cp:coreProperties>
</file>

<file path=docProps/custom.xml><?xml version="1.0" encoding="utf-8"?>
<Properties xmlns="http://schemas.openxmlformats.org/officeDocument/2006/custom-properties" xmlns:vt="http://schemas.openxmlformats.org/officeDocument/2006/docPropsVTypes"/>
</file>